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E3C" w:rsidRDefault="00987503" w:rsidP="007A5E3C">
      <w:pPr>
        <w:jc w:val="center"/>
        <w:rPr>
          <w:b/>
          <w:bCs/>
          <w:sz w:val="26"/>
          <w:szCs w:val="26"/>
          <w:rtl/>
        </w:rPr>
      </w:pPr>
      <w:bookmarkStart w:id="0" w:name="_GoBack"/>
      <w:bookmarkEnd w:id="0"/>
      <w:r>
        <w:rPr>
          <w:noProof/>
        </w:rPr>
        <w:drawing>
          <wp:inline distT="0" distB="0" distL="0" distR="0">
            <wp:extent cx="509905" cy="624205"/>
            <wp:effectExtent l="0" t="0" r="4445" b="4445"/>
            <wp:docPr id="1" name="תמונה 1" descr="סמל המדינה"/>
            <wp:cNvGraphicFramePr/>
            <a:graphic xmlns:a="http://schemas.openxmlformats.org/drawingml/2006/main">
              <a:graphicData uri="http://schemas.openxmlformats.org/drawingml/2006/picture">
                <pic:pic xmlns:pic="http://schemas.openxmlformats.org/drawingml/2006/picture">
                  <pic:nvPicPr>
                    <pic:cNvPr id="1597358168" name="תמונה 1" descr="סמל המדינה"/>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09905" cy="624205"/>
                    </a:xfrm>
                    <a:prstGeom prst="rect">
                      <a:avLst/>
                    </a:prstGeom>
                    <a:noFill/>
                    <a:ln>
                      <a:noFill/>
                    </a:ln>
                  </pic:spPr>
                </pic:pic>
              </a:graphicData>
            </a:graphic>
          </wp:inline>
        </w:drawing>
      </w:r>
    </w:p>
    <w:p w:rsidR="007A5E3C" w:rsidRDefault="00987503" w:rsidP="007A5E3C">
      <w:pPr>
        <w:rPr>
          <w:b/>
          <w:bCs/>
          <w:sz w:val="26"/>
          <w:szCs w:val="26"/>
          <w:rtl/>
        </w:rPr>
      </w:pPr>
      <w:r w:rsidRPr="00CB5068">
        <w:rPr>
          <w:b/>
          <w:bCs/>
          <w:sz w:val="26"/>
          <w:szCs w:val="26"/>
          <w:rtl/>
        </w:rPr>
        <w:t>תוכן עניינים</w:t>
      </w:r>
    </w:p>
    <w:p w:rsidR="000A3F50" w:rsidRDefault="00987503">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73613770" w:history="1">
        <w:r w:rsidR="000A3F50" w:rsidRPr="007754E3">
          <w:rPr>
            <w:rStyle w:val="Hyperlink"/>
            <w:noProof/>
            <w:rtl/>
          </w:rPr>
          <w:t>טיוטת צו</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Toc73613770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2</w:t>
        </w:r>
        <w:r w:rsidR="000A3F50">
          <w:rPr>
            <w:rStyle w:val="Hyperlink"/>
            <w:noProof/>
            <w:rtl/>
          </w:rPr>
          <w:fldChar w:fldCharType="end"/>
        </w:r>
      </w:hyperlink>
    </w:p>
    <w:p w:rsidR="000A3F50" w:rsidRDefault="00480780">
      <w:pPr>
        <w:pStyle w:val="TOC4"/>
        <w:rPr>
          <w:rFonts w:cstheme="minorBidi"/>
          <w:rtl/>
        </w:rPr>
      </w:pPr>
      <w:hyperlink w:anchor="_Toc73613771" w:history="1">
        <w:r w:rsidR="000A3F50" w:rsidRPr="007754E3">
          <w:rPr>
            <w:rStyle w:val="Hyperlink"/>
            <w:rtl/>
          </w:rPr>
          <w:t>א. שם הצו המוצע</w:t>
        </w:r>
        <w:r w:rsidR="000A3F50">
          <w:rPr>
            <w:webHidden/>
            <w:rtl/>
          </w:rPr>
          <w:tab/>
        </w:r>
        <w:r w:rsidR="000A3F50">
          <w:rPr>
            <w:rStyle w:val="Hyperlink"/>
            <w:rtl/>
          </w:rPr>
          <w:fldChar w:fldCharType="begin"/>
        </w:r>
        <w:r w:rsidR="000A3F50">
          <w:rPr>
            <w:webHidden/>
            <w:rtl/>
          </w:rPr>
          <w:instrText xml:space="preserve"> </w:instrText>
        </w:r>
        <w:r w:rsidR="000A3F50">
          <w:rPr>
            <w:webHidden/>
          </w:rPr>
          <w:instrText>PAGEREF</w:instrText>
        </w:r>
        <w:r w:rsidR="000A3F50">
          <w:rPr>
            <w:webHidden/>
            <w:rtl/>
          </w:rPr>
          <w:instrText xml:space="preserve"> _</w:instrText>
        </w:r>
        <w:r w:rsidR="000A3F50">
          <w:rPr>
            <w:webHidden/>
          </w:rPr>
          <w:instrText>Toc73613771 \h</w:instrText>
        </w:r>
        <w:r w:rsidR="000A3F50">
          <w:rPr>
            <w:webHidden/>
            <w:rtl/>
          </w:rPr>
          <w:instrText xml:space="preserve"> </w:instrText>
        </w:r>
        <w:r w:rsidR="000A3F50">
          <w:rPr>
            <w:rStyle w:val="Hyperlink"/>
            <w:rtl/>
          </w:rPr>
        </w:r>
        <w:r w:rsidR="000A3F50">
          <w:rPr>
            <w:rStyle w:val="Hyperlink"/>
            <w:rtl/>
          </w:rPr>
          <w:fldChar w:fldCharType="separate"/>
        </w:r>
        <w:r w:rsidR="000A3F50">
          <w:rPr>
            <w:webHidden/>
            <w:rtl/>
          </w:rPr>
          <w:t>2</w:t>
        </w:r>
        <w:r w:rsidR="000A3F50">
          <w:rPr>
            <w:rStyle w:val="Hyperlink"/>
            <w:rtl/>
          </w:rPr>
          <w:fldChar w:fldCharType="end"/>
        </w:r>
      </w:hyperlink>
    </w:p>
    <w:p w:rsidR="000A3F50" w:rsidRDefault="00480780">
      <w:pPr>
        <w:pStyle w:val="TOC4"/>
        <w:rPr>
          <w:rFonts w:cstheme="minorBidi"/>
          <w:rtl/>
        </w:rPr>
      </w:pPr>
      <w:hyperlink w:anchor="_Toc73613772" w:history="1">
        <w:r w:rsidR="000A3F50" w:rsidRPr="007754E3">
          <w:rPr>
            <w:rStyle w:val="Hyperlink"/>
            <w:rtl/>
          </w:rPr>
          <w:t>ב. מטרת הצו המוצע והצורך בו</w:t>
        </w:r>
        <w:r w:rsidR="000A3F50">
          <w:rPr>
            <w:webHidden/>
            <w:rtl/>
          </w:rPr>
          <w:tab/>
        </w:r>
        <w:r w:rsidR="000A3F50">
          <w:rPr>
            <w:rStyle w:val="Hyperlink"/>
            <w:rtl/>
          </w:rPr>
          <w:fldChar w:fldCharType="begin"/>
        </w:r>
        <w:r w:rsidR="000A3F50">
          <w:rPr>
            <w:webHidden/>
            <w:rtl/>
          </w:rPr>
          <w:instrText xml:space="preserve"> </w:instrText>
        </w:r>
        <w:r w:rsidR="000A3F50">
          <w:rPr>
            <w:webHidden/>
          </w:rPr>
          <w:instrText>PAGEREF</w:instrText>
        </w:r>
        <w:r w:rsidR="000A3F50">
          <w:rPr>
            <w:webHidden/>
            <w:rtl/>
          </w:rPr>
          <w:instrText xml:space="preserve"> _</w:instrText>
        </w:r>
        <w:r w:rsidR="000A3F50">
          <w:rPr>
            <w:webHidden/>
          </w:rPr>
          <w:instrText>Toc73613772 \h</w:instrText>
        </w:r>
        <w:r w:rsidR="000A3F50">
          <w:rPr>
            <w:webHidden/>
            <w:rtl/>
          </w:rPr>
          <w:instrText xml:space="preserve"> </w:instrText>
        </w:r>
        <w:r w:rsidR="000A3F50">
          <w:rPr>
            <w:rStyle w:val="Hyperlink"/>
            <w:rtl/>
          </w:rPr>
        </w:r>
        <w:r w:rsidR="000A3F50">
          <w:rPr>
            <w:rStyle w:val="Hyperlink"/>
            <w:rtl/>
          </w:rPr>
          <w:fldChar w:fldCharType="separate"/>
        </w:r>
        <w:r w:rsidR="000A3F50">
          <w:rPr>
            <w:webHidden/>
            <w:rtl/>
          </w:rPr>
          <w:t>2</w:t>
        </w:r>
        <w:r w:rsidR="000A3F50">
          <w:rPr>
            <w:rStyle w:val="Hyperlink"/>
            <w:rtl/>
          </w:rPr>
          <w:fldChar w:fldCharType="end"/>
        </w:r>
      </w:hyperlink>
    </w:p>
    <w:p w:rsidR="000A3F50" w:rsidRDefault="00480780">
      <w:pPr>
        <w:pStyle w:val="TOC4"/>
        <w:rPr>
          <w:rFonts w:cstheme="minorBidi"/>
          <w:rtl/>
        </w:rPr>
      </w:pPr>
      <w:hyperlink w:anchor="_Toc73613773" w:history="1">
        <w:r w:rsidR="000A3F50" w:rsidRPr="007754E3">
          <w:rPr>
            <w:rStyle w:val="Hyperlink"/>
            <w:rtl/>
          </w:rPr>
          <w:t>ג. להלן נוסח טיוטת הצו המוצע:</w:t>
        </w:r>
        <w:r w:rsidR="000A3F50">
          <w:rPr>
            <w:webHidden/>
            <w:rtl/>
          </w:rPr>
          <w:tab/>
        </w:r>
        <w:r w:rsidR="000A3F50">
          <w:rPr>
            <w:rStyle w:val="Hyperlink"/>
            <w:rtl/>
          </w:rPr>
          <w:fldChar w:fldCharType="begin"/>
        </w:r>
        <w:r w:rsidR="000A3F50">
          <w:rPr>
            <w:webHidden/>
            <w:rtl/>
          </w:rPr>
          <w:instrText xml:space="preserve"> </w:instrText>
        </w:r>
        <w:r w:rsidR="000A3F50">
          <w:rPr>
            <w:webHidden/>
          </w:rPr>
          <w:instrText>PAGEREF</w:instrText>
        </w:r>
        <w:r w:rsidR="000A3F50">
          <w:rPr>
            <w:webHidden/>
            <w:rtl/>
          </w:rPr>
          <w:instrText xml:space="preserve"> _</w:instrText>
        </w:r>
        <w:r w:rsidR="000A3F50">
          <w:rPr>
            <w:webHidden/>
          </w:rPr>
          <w:instrText>Toc73613773 \h</w:instrText>
        </w:r>
        <w:r w:rsidR="000A3F50">
          <w:rPr>
            <w:webHidden/>
            <w:rtl/>
          </w:rPr>
          <w:instrText xml:space="preserve"> </w:instrText>
        </w:r>
        <w:r w:rsidR="000A3F50">
          <w:rPr>
            <w:rStyle w:val="Hyperlink"/>
            <w:rtl/>
          </w:rPr>
        </w:r>
        <w:r w:rsidR="000A3F50">
          <w:rPr>
            <w:rStyle w:val="Hyperlink"/>
            <w:rtl/>
          </w:rPr>
          <w:fldChar w:fldCharType="separate"/>
        </w:r>
        <w:r w:rsidR="000A3F50">
          <w:rPr>
            <w:webHidden/>
            <w:rtl/>
          </w:rPr>
          <w:t>2</w:t>
        </w:r>
        <w:r w:rsidR="000A3F50">
          <w:rPr>
            <w:rStyle w:val="Hyperlink"/>
            <w:rtl/>
          </w:rPr>
          <w:fldChar w:fldCharType="end"/>
        </w:r>
      </w:hyperlink>
    </w:p>
    <w:p w:rsidR="000A3F50" w:rsidRDefault="00480780">
      <w:pPr>
        <w:pStyle w:val="TOC1"/>
        <w:rPr>
          <w:rFonts w:asciiTheme="minorHAnsi" w:eastAsiaTheme="minorEastAsia" w:hAnsiTheme="minorHAnsi" w:cstheme="minorBidi"/>
          <w:bCs w:val="0"/>
          <w:noProof/>
          <w:sz w:val="22"/>
          <w:rtl/>
        </w:rPr>
      </w:pPr>
      <w:hyperlink w:anchor="_Toc73613774" w:history="1">
        <w:r w:rsidR="000A3F50" w:rsidRPr="007754E3">
          <w:rPr>
            <w:rStyle w:val="Hyperlink"/>
            <w:noProof/>
            <w:rtl/>
          </w:rPr>
          <w:t>טיוטת צו ההגבלים העסקיים (הוראת שעה), התשפ"א-2021</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Toc73613774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3</w:t>
        </w:r>
        <w:r w:rsidR="000A3F50">
          <w:rPr>
            <w:rStyle w:val="Hyperlink"/>
            <w:noProof/>
            <w:rtl/>
          </w:rPr>
          <w:fldChar w:fldCharType="end"/>
        </w:r>
      </w:hyperlink>
    </w:p>
    <w:p w:rsidR="000A3F50" w:rsidRDefault="00480780">
      <w:pPr>
        <w:pStyle w:val="TOC3"/>
        <w:rPr>
          <w:rFonts w:asciiTheme="minorHAnsi" w:eastAsiaTheme="minorEastAsia" w:hAnsiTheme="minorHAnsi" w:cstheme="minorBidi"/>
          <w:noProof/>
          <w:sz w:val="22"/>
          <w:rtl/>
        </w:rPr>
      </w:pPr>
      <w:hyperlink w:anchor="_Toc73613775" w:history="1">
        <w:r w:rsidR="000A3F50" w:rsidRPr="007754E3">
          <w:rPr>
            <w:rStyle w:val="Hyperlink"/>
            <w:noProof/>
            <w:rtl/>
          </w:rPr>
          <w:t>תיקון השם</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Toc73613775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3</w:t>
        </w:r>
        <w:r w:rsidR="000A3F50">
          <w:rPr>
            <w:rStyle w:val="Hyperlink"/>
            <w:noProof/>
            <w:rtl/>
          </w:rPr>
          <w:fldChar w:fldCharType="end"/>
        </w:r>
      </w:hyperlink>
    </w:p>
    <w:p w:rsidR="000A3F50" w:rsidRDefault="00480780">
      <w:pPr>
        <w:pStyle w:val="TOC3"/>
        <w:rPr>
          <w:rFonts w:asciiTheme="minorHAnsi" w:eastAsiaTheme="minorEastAsia" w:hAnsiTheme="minorHAnsi" w:cstheme="minorBidi"/>
          <w:noProof/>
          <w:sz w:val="22"/>
          <w:rtl/>
        </w:rPr>
      </w:pPr>
      <w:hyperlink w:anchor="_Toc73613776" w:history="1">
        <w:r w:rsidR="000A3F50" w:rsidRPr="007754E3">
          <w:rPr>
            <w:rStyle w:val="Hyperlink"/>
            <w:noProof/>
            <w:rtl/>
          </w:rPr>
          <w:t>תיקון הפתיח</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Toc73613776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3</w:t>
        </w:r>
        <w:r w:rsidR="000A3F50">
          <w:rPr>
            <w:rStyle w:val="Hyperlink"/>
            <w:noProof/>
            <w:rtl/>
          </w:rPr>
          <w:fldChar w:fldCharType="end"/>
        </w:r>
      </w:hyperlink>
    </w:p>
    <w:p w:rsidR="000A3F50" w:rsidRDefault="00480780">
      <w:pPr>
        <w:pStyle w:val="TOC3"/>
        <w:rPr>
          <w:rFonts w:asciiTheme="minorHAnsi" w:eastAsiaTheme="minorEastAsia" w:hAnsiTheme="minorHAnsi" w:cstheme="minorBidi"/>
          <w:noProof/>
          <w:sz w:val="22"/>
          <w:rtl/>
        </w:rPr>
      </w:pPr>
      <w:hyperlink w:anchor="_Toc73613777" w:history="1">
        <w:r w:rsidR="000A3F50" w:rsidRPr="007754E3">
          <w:rPr>
            <w:rStyle w:val="Hyperlink"/>
            <w:noProof/>
            <w:rtl/>
          </w:rPr>
          <w:t>תיקון כותרת שוליים</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Toc73613777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3</w:t>
        </w:r>
        <w:r w:rsidR="000A3F50">
          <w:rPr>
            <w:rStyle w:val="Hyperlink"/>
            <w:noProof/>
            <w:rtl/>
          </w:rPr>
          <w:fldChar w:fldCharType="end"/>
        </w:r>
      </w:hyperlink>
    </w:p>
    <w:p w:rsidR="000A3F50" w:rsidRDefault="00480780">
      <w:pPr>
        <w:pStyle w:val="TOC3"/>
        <w:rPr>
          <w:rFonts w:asciiTheme="minorHAnsi" w:eastAsiaTheme="minorEastAsia" w:hAnsiTheme="minorHAnsi" w:cstheme="minorBidi"/>
          <w:noProof/>
          <w:sz w:val="22"/>
          <w:rtl/>
        </w:rPr>
      </w:pPr>
      <w:hyperlink w:anchor="_Toc73613778" w:history="1">
        <w:r w:rsidR="000A3F50" w:rsidRPr="007754E3">
          <w:rPr>
            <w:rStyle w:val="Hyperlink"/>
            <w:noProof/>
            <w:rtl/>
          </w:rPr>
          <w:t>תיקון סעיף 2</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Toc73613778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3</w:t>
        </w:r>
        <w:r w:rsidR="000A3F50">
          <w:rPr>
            <w:rStyle w:val="Hyperlink"/>
            <w:noProof/>
            <w:rtl/>
          </w:rPr>
          <w:fldChar w:fldCharType="end"/>
        </w:r>
      </w:hyperlink>
    </w:p>
    <w:p w:rsidR="000A3F50" w:rsidRDefault="00480780">
      <w:pPr>
        <w:pStyle w:val="TOC3"/>
        <w:rPr>
          <w:rFonts w:asciiTheme="minorHAnsi" w:eastAsiaTheme="minorEastAsia" w:hAnsiTheme="minorHAnsi" w:cstheme="minorBidi"/>
          <w:noProof/>
          <w:sz w:val="22"/>
          <w:rtl/>
        </w:rPr>
      </w:pPr>
      <w:hyperlink w:anchor="_Toc73613779" w:history="1">
        <w:r w:rsidR="000A3F50" w:rsidRPr="007754E3">
          <w:rPr>
            <w:rStyle w:val="Hyperlink"/>
            <w:noProof/>
            <w:rtl/>
          </w:rPr>
          <w:t>הארכת הוראת השעה</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Toc73613779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3</w:t>
        </w:r>
        <w:r w:rsidR="000A3F50">
          <w:rPr>
            <w:rStyle w:val="Hyperlink"/>
            <w:noProof/>
            <w:rtl/>
          </w:rPr>
          <w:fldChar w:fldCharType="end"/>
        </w:r>
      </w:hyperlink>
    </w:p>
    <w:p w:rsidR="000A3F50" w:rsidRDefault="00480780">
      <w:pPr>
        <w:pStyle w:val="TOC2"/>
        <w:rPr>
          <w:rFonts w:asciiTheme="minorHAnsi" w:eastAsiaTheme="minorEastAsia" w:hAnsiTheme="minorHAnsi" w:cstheme="minorBidi"/>
          <w:noProof/>
          <w:sz w:val="22"/>
          <w:rtl/>
        </w:rPr>
      </w:pPr>
      <w:hyperlink w:anchor="_Toc73613780" w:history="1">
        <w:r w:rsidR="000A3F50" w:rsidRPr="007754E3">
          <w:rPr>
            <w:rStyle w:val="Hyperlink"/>
            <w:noProof/>
            <w:rtl/>
          </w:rPr>
          <w:t>דברי הסבר</w:t>
        </w:r>
        <w:r w:rsidR="000A3F50">
          <w:rPr>
            <w:noProof/>
            <w:webHidden/>
            <w:rtl/>
          </w:rPr>
          <w:tab/>
        </w:r>
        <w:r w:rsidR="000A3F50">
          <w:rPr>
            <w:rStyle w:val="Hyperlink"/>
            <w:noProof/>
            <w:rtl/>
          </w:rPr>
          <w:fldChar w:fldCharType="begin"/>
        </w:r>
        <w:r w:rsidR="000A3F50">
          <w:rPr>
            <w:noProof/>
            <w:webHidden/>
            <w:rtl/>
          </w:rPr>
          <w:instrText xml:space="preserve"> </w:instrText>
        </w:r>
        <w:r w:rsidR="000A3F50">
          <w:rPr>
            <w:noProof/>
            <w:webHidden/>
          </w:rPr>
          <w:instrText>PAGEREF</w:instrText>
        </w:r>
        <w:r w:rsidR="000A3F50">
          <w:rPr>
            <w:noProof/>
            <w:webHidden/>
            <w:rtl/>
          </w:rPr>
          <w:instrText xml:space="preserve"> _</w:instrText>
        </w:r>
        <w:r w:rsidR="000A3F50">
          <w:rPr>
            <w:noProof/>
            <w:webHidden/>
          </w:rPr>
          <w:instrText>Toc73613780 \h</w:instrText>
        </w:r>
        <w:r w:rsidR="000A3F50">
          <w:rPr>
            <w:noProof/>
            <w:webHidden/>
            <w:rtl/>
          </w:rPr>
          <w:instrText xml:space="preserve"> </w:instrText>
        </w:r>
        <w:r w:rsidR="000A3F50">
          <w:rPr>
            <w:rStyle w:val="Hyperlink"/>
            <w:noProof/>
            <w:rtl/>
          </w:rPr>
        </w:r>
        <w:r w:rsidR="000A3F50">
          <w:rPr>
            <w:rStyle w:val="Hyperlink"/>
            <w:noProof/>
            <w:rtl/>
          </w:rPr>
          <w:fldChar w:fldCharType="separate"/>
        </w:r>
        <w:r w:rsidR="000A3F50">
          <w:rPr>
            <w:noProof/>
            <w:webHidden/>
            <w:rtl/>
          </w:rPr>
          <w:t>4</w:t>
        </w:r>
        <w:r w:rsidR="000A3F50">
          <w:rPr>
            <w:rStyle w:val="Hyperlink"/>
            <w:noProof/>
            <w:rtl/>
          </w:rPr>
          <w:fldChar w:fldCharType="end"/>
        </w:r>
      </w:hyperlink>
    </w:p>
    <w:p w:rsidR="007A5E3C" w:rsidRDefault="00987503" w:rsidP="007A5E3C">
      <w:pPr>
        <w:rPr>
          <w:snapToGrid w:val="0"/>
          <w:rtl/>
        </w:rPr>
      </w:pPr>
      <w:r>
        <w:rPr>
          <w:rtl/>
        </w:rPr>
        <w:fldChar w:fldCharType="end"/>
      </w:r>
      <w:r>
        <w:rPr>
          <w:rtl/>
        </w:rPr>
        <w:br w:type="page"/>
      </w:r>
    </w:p>
    <w:p w:rsidR="007A5E3C" w:rsidRDefault="00987503" w:rsidP="007A5E3C">
      <w:pPr>
        <w:pStyle w:val="Heading1"/>
        <w:keepNext w:val="0"/>
        <w:keepLines w:val="0"/>
      </w:pPr>
      <w:bookmarkStart w:id="1" w:name="_Toc73613770"/>
      <w:r w:rsidRPr="00F96E19">
        <w:rPr>
          <w:rFonts w:hint="cs"/>
          <w:rtl/>
        </w:rPr>
        <w:lastRenderedPageBreak/>
        <w:t>טיוטת צו</w:t>
      </w:r>
      <w:bookmarkEnd w:id="1"/>
    </w:p>
    <w:p w:rsidR="007A5E3C" w:rsidRDefault="007A5E3C" w:rsidP="007A5E3C">
      <w:pPr>
        <w:rPr>
          <w:rtl/>
        </w:rPr>
      </w:pPr>
    </w:p>
    <w:p w:rsidR="007A5E3C" w:rsidRPr="000E60D4" w:rsidRDefault="00987503" w:rsidP="007A5E3C">
      <w:pPr>
        <w:pStyle w:val="Heading4"/>
        <w:rPr>
          <w:rtl/>
        </w:rPr>
      </w:pPr>
      <w:bookmarkStart w:id="2" w:name="_Toc73613771"/>
      <w:r w:rsidRPr="000E60D4">
        <w:rPr>
          <w:rFonts w:hint="cs"/>
          <w:rtl/>
        </w:rPr>
        <w:t>שם הצו המוצע</w:t>
      </w:r>
      <w:bookmarkEnd w:id="2"/>
    </w:p>
    <w:p w:rsidR="007A5E3C" w:rsidRDefault="00987503" w:rsidP="00337410">
      <w:r w:rsidRPr="00F96E19">
        <w:rPr>
          <w:rFonts w:hint="cs"/>
          <w:rtl/>
        </w:rPr>
        <w:t xml:space="preserve">צו </w:t>
      </w:r>
      <w:r w:rsidR="00324976">
        <w:rPr>
          <w:rFonts w:hint="cs"/>
          <w:rtl/>
        </w:rPr>
        <w:t>ההגבלים העסקיים</w:t>
      </w:r>
      <w:r w:rsidR="006A787F">
        <w:rPr>
          <w:rFonts w:hint="cs"/>
          <w:rtl/>
        </w:rPr>
        <w:t xml:space="preserve"> (</w:t>
      </w:r>
      <w:r w:rsidR="008A0FB5">
        <w:rPr>
          <w:rFonts w:hint="cs"/>
          <w:rtl/>
        </w:rPr>
        <w:t xml:space="preserve">תיקון מס' 20 </w:t>
      </w:r>
      <w:r w:rsidR="008A0FB5">
        <w:rPr>
          <w:rtl/>
        </w:rPr>
        <w:t>–</w:t>
      </w:r>
      <w:r w:rsidR="008A0FB5">
        <w:rPr>
          <w:rFonts w:hint="cs"/>
          <w:rtl/>
        </w:rPr>
        <w:t xml:space="preserve"> </w:t>
      </w:r>
      <w:r w:rsidR="006A787F">
        <w:rPr>
          <w:rFonts w:hint="cs"/>
          <w:rtl/>
        </w:rPr>
        <w:t>הוראת שעה), התשפ"א-2021</w:t>
      </w:r>
      <w:r>
        <w:rPr>
          <w:rFonts w:hint="cs"/>
          <w:rtl/>
        </w:rPr>
        <w:t>.</w:t>
      </w:r>
      <w:r w:rsidRPr="00F96E19">
        <w:rPr>
          <w:rFonts w:hint="cs"/>
          <w:rtl/>
        </w:rPr>
        <w:t xml:space="preserve"> </w:t>
      </w:r>
    </w:p>
    <w:p w:rsidR="007A5E3C" w:rsidRPr="00F96E19" w:rsidRDefault="007A5E3C" w:rsidP="007A5E3C">
      <w:pPr>
        <w:rPr>
          <w:rtl/>
        </w:rPr>
      </w:pPr>
    </w:p>
    <w:p w:rsidR="007A5E3C" w:rsidRPr="00F96E19" w:rsidRDefault="007A5E3C" w:rsidP="007A5E3C">
      <w:pPr>
        <w:rPr>
          <w:rtl/>
        </w:rPr>
      </w:pPr>
    </w:p>
    <w:p w:rsidR="007A5E3C" w:rsidRDefault="00987503" w:rsidP="007A5E3C">
      <w:pPr>
        <w:pStyle w:val="Heading4"/>
        <w:rPr>
          <w:rtl/>
        </w:rPr>
      </w:pPr>
      <w:bookmarkStart w:id="3" w:name="_Toc73613772"/>
      <w:r>
        <w:rPr>
          <w:rFonts w:hint="cs"/>
          <w:rtl/>
        </w:rPr>
        <w:t>מטרת הצו המוצע והצורך בו</w:t>
      </w:r>
      <w:bookmarkEnd w:id="3"/>
      <w:r>
        <w:rPr>
          <w:rFonts w:hint="cs"/>
          <w:rtl/>
        </w:rPr>
        <w:t xml:space="preserve"> </w:t>
      </w:r>
    </w:p>
    <w:p w:rsidR="00324976" w:rsidRDefault="00324976" w:rsidP="00337410">
      <w:pPr>
        <w:pStyle w:val="ListParagraph"/>
        <w:spacing w:line="360" w:lineRule="auto"/>
        <w:ind w:right="-364"/>
        <w:rPr>
          <w:rFonts w:ascii="David" w:hAnsi="David"/>
          <w:sz w:val="24"/>
          <w:rtl/>
        </w:rPr>
      </w:pPr>
      <w:r>
        <w:rPr>
          <w:rFonts w:ascii="David" w:hAnsi="David" w:hint="cs"/>
          <w:sz w:val="24"/>
          <w:rtl/>
        </w:rPr>
        <w:t xml:space="preserve">ביום 26.7.2018 פורסם חוק ההגבלים העסקיים (תיקון מס' 20 </w:t>
      </w:r>
      <w:r>
        <w:rPr>
          <w:rFonts w:ascii="David" w:hAnsi="David"/>
          <w:sz w:val="24"/>
          <w:rtl/>
        </w:rPr>
        <w:t>–</w:t>
      </w:r>
      <w:r>
        <w:rPr>
          <w:rFonts w:ascii="David" w:hAnsi="David" w:hint="cs"/>
          <w:sz w:val="24"/>
          <w:rtl/>
        </w:rPr>
        <w:t xml:space="preserve"> הוראת שעה), התשע"ח-2018. התיקון נחקק כהוראת שעה לשלוש שנים בלבד, ומשכך צפוי לפקוע ביום 26.7.2021. אולם המחוקק הסמיך את שר הכלכלה להאריך בצו את תוקפו של התיקון. מכאן הצו המוצע. </w:t>
      </w:r>
    </w:p>
    <w:p w:rsidR="00324976" w:rsidRDefault="00324976" w:rsidP="00507893">
      <w:pPr>
        <w:pStyle w:val="ListParagraph"/>
        <w:spacing w:line="360" w:lineRule="auto"/>
        <w:ind w:right="-364"/>
        <w:rPr>
          <w:rFonts w:ascii="David" w:hAnsi="David"/>
          <w:sz w:val="24"/>
          <w:rtl/>
        </w:rPr>
      </w:pPr>
    </w:p>
    <w:p w:rsidR="007A5E3C" w:rsidRDefault="00987503" w:rsidP="00507893">
      <w:pPr>
        <w:pStyle w:val="ListParagraph"/>
        <w:spacing w:line="360" w:lineRule="auto"/>
        <w:ind w:right="-364"/>
        <w:rPr>
          <w:rFonts w:ascii="David" w:hAnsi="David"/>
          <w:sz w:val="24"/>
          <w:rtl/>
        </w:rPr>
      </w:pPr>
      <w:r w:rsidRPr="009912E9">
        <w:rPr>
          <w:rFonts w:ascii="David" w:hAnsi="David"/>
          <w:sz w:val="24"/>
          <w:rtl/>
        </w:rPr>
        <w:t>כמוסבר ב</w:t>
      </w:r>
      <w:r w:rsidR="003337C1">
        <w:rPr>
          <w:rFonts w:ascii="David" w:hAnsi="David" w:hint="cs"/>
          <w:sz w:val="24"/>
          <w:rtl/>
        </w:rPr>
        <w:t>הצעת החוק</w:t>
      </w:r>
      <w:r>
        <w:rPr>
          <w:rFonts w:ascii="David" w:hAnsi="David" w:hint="cs"/>
          <w:sz w:val="24"/>
          <w:rtl/>
        </w:rPr>
        <w:t xml:space="preserve"> </w:t>
      </w:r>
      <w:hyperlink w:history="1">
        <w:r w:rsidRPr="009912E9">
          <w:rPr>
            <w:rStyle w:val="Hyperlink"/>
            <w:rFonts w:ascii="David" w:hAnsi="David"/>
            <w:sz w:val="24"/>
            <w:rtl/>
          </w:rPr>
          <w:t>ה"ח הממשלה תשע"ח מס' 1174</w:t>
        </w:r>
      </w:hyperlink>
      <w:r w:rsidRPr="009912E9">
        <w:rPr>
          <w:rFonts w:ascii="David" w:hAnsi="David"/>
          <w:color w:val="000000"/>
          <w:sz w:val="24"/>
        </w:rPr>
        <w:t> </w:t>
      </w:r>
      <w:r w:rsidRPr="009912E9">
        <w:rPr>
          <w:rFonts w:ascii="David" w:hAnsi="David"/>
          <w:color w:val="000000"/>
          <w:sz w:val="24"/>
          <w:rtl/>
        </w:rPr>
        <w:t>עמ' 158</w:t>
      </w:r>
      <w:r>
        <w:rPr>
          <w:rFonts w:ascii="David" w:hAnsi="David" w:hint="cs"/>
          <w:sz w:val="24"/>
          <w:rtl/>
        </w:rPr>
        <w:t xml:space="preserve">, תחרות מצד יבוא מקביל היא בעלת משמעות רבה, בעיקר בהיבט התחרות על המחיר. החשיבות התחרותית של יבוא אישי, בעיקר באמצעות האינטרנט, גוברת גם כן בשנים האחרונות. תכליתו המרכזית של פרק ד'2 לחוק התחרות הכלכלית, תשמ"ח-1988 (להלן </w:t>
      </w:r>
      <w:r>
        <w:rPr>
          <w:rFonts w:ascii="David" w:hAnsi="David" w:hint="cs"/>
          <w:b/>
          <w:bCs/>
          <w:sz w:val="24"/>
          <w:rtl/>
        </w:rPr>
        <w:t>החוק</w:t>
      </w:r>
      <w:r>
        <w:rPr>
          <w:rFonts w:ascii="David" w:hAnsi="David" w:hint="cs"/>
          <w:sz w:val="24"/>
          <w:rtl/>
        </w:rPr>
        <w:t xml:space="preserve">) </w:t>
      </w:r>
      <w:r>
        <w:rPr>
          <w:rFonts w:ascii="David" w:hAnsi="David"/>
          <w:sz w:val="24"/>
          <w:rtl/>
        </w:rPr>
        <w:t>–</w:t>
      </w:r>
      <w:r>
        <w:rPr>
          <w:rFonts w:ascii="David" w:hAnsi="David" w:hint="cs"/>
          <w:sz w:val="24"/>
          <w:rtl/>
        </w:rPr>
        <w:t xml:space="preserve"> "מתן הוראות ליבואן ישיר </w:t>
      </w:r>
      <w:r>
        <w:rPr>
          <w:rFonts w:ascii="David" w:hAnsi="David"/>
          <w:sz w:val="24"/>
          <w:rtl/>
        </w:rPr>
        <w:t>–</w:t>
      </w:r>
      <w:r>
        <w:rPr>
          <w:rFonts w:ascii="David" w:hAnsi="David" w:hint="cs"/>
          <w:sz w:val="24"/>
          <w:rtl/>
        </w:rPr>
        <w:t xml:space="preserve"> הוראת שעה" (להלן </w:t>
      </w:r>
      <w:r>
        <w:rPr>
          <w:rFonts w:ascii="David" w:hAnsi="David" w:hint="cs"/>
          <w:b/>
          <w:bCs/>
          <w:sz w:val="24"/>
          <w:rtl/>
        </w:rPr>
        <w:t>הוראת השעה</w:t>
      </w:r>
      <w:r>
        <w:rPr>
          <w:rFonts w:ascii="David" w:hAnsi="David" w:hint="cs"/>
          <w:sz w:val="24"/>
          <w:rtl/>
        </w:rPr>
        <w:t>)</w:t>
      </w:r>
      <w:r>
        <w:rPr>
          <w:rStyle w:val="FootnoteReference"/>
          <w:rFonts w:ascii="David" w:hAnsi="David"/>
          <w:sz w:val="24"/>
          <w:rtl/>
        </w:rPr>
        <w:footnoteReference w:id="1"/>
      </w:r>
      <w:r>
        <w:rPr>
          <w:rFonts w:ascii="David" w:hAnsi="David" w:hint="cs"/>
          <w:sz w:val="24"/>
          <w:rtl/>
        </w:rPr>
        <w:t xml:space="preserve"> היא למנוע פגיעה בתחרות בידי יבואן ישיר בדרך של סיכול או צמצום התחרות מיבוא מקביל. אשר על כן, הוראת השעה מסמיכה את הממונה על התחרות (להלן </w:t>
      </w:r>
      <w:r>
        <w:rPr>
          <w:rFonts w:ascii="David" w:hAnsi="David" w:hint="cs"/>
          <w:b/>
          <w:bCs/>
          <w:sz w:val="24"/>
          <w:rtl/>
        </w:rPr>
        <w:t>הממונה</w:t>
      </w:r>
      <w:r>
        <w:rPr>
          <w:rFonts w:ascii="David" w:hAnsi="David" w:hint="cs"/>
          <w:sz w:val="24"/>
          <w:rtl/>
        </w:rPr>
        <w:t>)</w:t>
      </w:r>
      <w:r>
        <w:rPr>
          <w:rFonts w:ascii="David" w:hAnsi="David" w:hint="cs"/>
          <w:b/>
          <w:bCs/>
          <w:sz w:val="24"/>
          <w:rtl/>
        </w:rPr>
        <w:t xml:space="preserve"> </w:t>
      </w:r>
      <w:r>
        <w:rPr>
          <w:rFonts w:ascii="David" w:hAnsi="David" w:hint="cs"/>
          <w:sz w:val="24"/>
          <w:rtl/>
        </w:rPr>
        <w:t xml:space="preserve">להורות ליבואן ישיר בדבר צעדים קונקרטיים שעליו לנקוט כדי למנוע פגיעה </w:t>
      </w:r>
      <w:r w:rsidR="00893E18">
        <w:rPr>
          <w:rFonts w:ascii="David" w:hAnsi="David" w:hint="cs"/>
          <w:sz w:val="24"/>
          <w:rtl/>
        </w:rPr>
        <w:t xml:space="preserve">פוטנציאלית </w:t>
      </w:r>
      <w:r>
        <w:rPr>
          <w:rFonts w:ascii="David" w:hAnsi="David" w:hint="cs"/>
          <w:sz w:val="24"/>
          <w:rtl/>
        </w:rPr>
        <w:t>בתחרות ש</w:t>
      </w:r>
      <w:r w:rsidR="00893E18">
        <w:rPr>
          <w:rFonts w:ascii="David" w:hAnsi="David" w:hint="cs"/>
          <w:sz w:val="24"/>
          <w:rtl/>
        </w:rPr>
        <w:t>יוצר</w:t>
      </w:r>
      <w:r>
        <w:rPr>
          <w:rFonts w:ascii="David" w:hAnsi="David" w:hint="cs"/>
          <w:sz w:val="24"/>
          <w:rtl/>
        </w:rPr>
        <w:t xml:space="preserve"> יבוא מקביל או יבוא אישי. הוראת השעה מאפשרת לממונה לפעול נקודתית </w:t>
      </w:r>
      <w:r w:rsidR="00D84A2C">
        <w:rPr>
          <w:rFonts w:ascii="David" w:hAnsi="David" w:hint="cs"/>
          <w:sz w:val="24"/>
          <w:rtl/>
        </w:rPr>
        <w:t xml:space="preserve">אל מול יבואן ישיר שכתוצאה ממעמדו או התנהגותו </w:t>
      </w:r>
      <w:r w:rsidR="00861EFA">
        <w:rPr>
          <w:rFonts w:ascii="David" w:hAnsi="David" w:hint="cs"/>
          <w:sz w:val="24"/>
          <w:rtl/>
        </w:rPr>
        <w:t xml:space="preserve">קיים חשש לפגיעה משמעותית ביבוא </w:t>
      </w:r>
      <w:r w:rsidR="009103AD">
        <w:rPr>
          <w:rFonts w:ascii="David" w:hAnsi="David" w:hint="cs"/>
          <w:sz w:val="24"/>
          <w:rtl/>
        </w:rPr>
        <w:t>מקביל</w:t>
      </w:r>
      <w:r w:rsidR="00861EFA">
        <w:rPr>
          <w:rFonts w:ascii="David" w:hAnsi="David" w:hint="cs"/>
          <w:sz w:val="24"/>
          <w:rtl/>
        </w:rPr>
        <w:t xml:space="preserve"> או </w:t>
      </w:r>
      <w:r w:rsidR="009103AD">
        <w:rPr>
          <w:rFonts w:ascii="David" w:hAnsi="David" w:hint="cs"/>
          <w:sz w:val="24"/>
          <w:rtl/>
        </w:rPr>
        <w:t>אישי</w:t>
      </w:r>
      <w:r w:rsidR="00D84A2C">
        <w:rPr>
          <w:rFonts w:ascii="David" w:hAnsi="David" w:hint="cs"/>
          <w:sz w:val="24"/>
          <w:rtl/>
        </w:rPr>
        <w:t xml:space="preserve"> </w:t>
      </w:r>
      <w:r>
        <w:rPr>
          <w:rFonts w:ascii="David" w:hAnsi="David" w:hint="cs"/>
          <w:sz w:val="24"/>
          <w:rtl/>
        </w:rPr>
        <w:t xml:space="preserve">ובד בבד אינה כוללת איסור התנהגות גורף החל על כלל היבואנים הישירים ואשר עלול למנוע שימוש בפעולות עסקיות לגיטימיות ופרו-תחרותיות. </w:t>
      </w:r>
    </w:p>
    <w:p w:rsidR="007A5E3C" w:rsidRDefault="007A5E3C" w:rsidP="007A5E3C">
      <w:pPr>
        <w:pStyle w:val="ListParagraph"/>
        <w:spacing w:line="360" w:lineRule="auto"/>
        <w:ind w:right="-364"/>
        <w:rPr>
          <w:rFonts w:ascii="David" w:hAnsi="David"/>
          <w:sz w:val="24"/>
          <w:rtl/>
        </w:rPr>
      </w:pPr>
    </w:p>
    <w:p w:rsidR="007A5E3C" w:rsidRDefault="00987503" w:rsidP="007A5E3C">
      <w:pPr>
        <w:pStyle w:val="ListParagraph"/>
        <w:spacing w:line="360" w:lineRule="auto"/>
        <w:ind w:right="-364"/>
        <w:rPr>
          <w:rtl/>
        </w:rPr>
      </w:pPr>
      <w:r>
        <w:rPr>
          <w:rFonts w:ascii="David" w:hAnsi="David" w:hint="cs"/>
          <w:sz w:val="24"/>
          <w:rtl/>
        </w:rPr>
        <w:t xml:space="preserve">שר הכלכלה, בהמלצת הממונה ובאישור ועדת הכלכלה של הכנסת, מוסמך להאריך בצו את תקופת הוראת השעה בתקופה נוספת שלא תעלה על שלוש שנים. </w:t>
      </w:r>
    </w:p>
    <w:p w:rsidR="007A5E3C" w:rsidRDefault="007A5E3C" w:rsidP="007A5E3C">
      <w:pPr>
        <w:pStyle w:val="ListParagraph"/>
        <w:spacing w:line="360" w:lineRule="auto"/>
        <w:ind w:right="-364"/>
        <w:rPr>
          <w:rtl/>
        </w:rPr>
      </w:pPr>
    </w:p>
    <w:p w:rsidR="007A5E3C" w:rsidRDefault="00987503" w:rsidP="00780BBA">
      <w:pPr>
        <w:ind w:right="-364"/>
        <w:rPr>
          <w:rtl/>
        </w:rPr>
      </w:pPr>
      <w:r>
        <w:rPr>
          <w:rFonts w:hint="cs"/>
          <w:rtl/>
        </w:rPr>
        <w:t>מוצע להאריך בצו את תקופת הוראת השעה בתקופה נוספת בת שלוש שנים. זאת בשים לב לשימוש שנעשה בסמכות בפועל</w:t>
      </w:r>
      <w:r>
        <w:rPr>
          <w:rStyle w:val="FootnoteReference"/>
          <w:rtl/>
        </w:rPr>
        <w:footnoteReference w:id="2"/>
      </w:r>
      <w:r>
        <w:rPr>
          <w:rFonts w:hint="cs"/>
          <w:rtl/>
        </w:rPr>
        <w:t xml:space="preserve"> ולכך שלא חל שינוי במאפייני המשק הישראלי מאז נחקקה הוראת השעה - גודלו הקטן יחסית, תלות </w:t>
      </w:r>
      <w:r w:rsidR="00780BBA">
        <w:rPr>
          <w:rFonts w:hint="cs"/>
          <w:rtl/>
        </w:rPr>
        <w:t>משמעותית</w:t>
      </w:r>
      <w:r>
        <w:rPr>
          <w:rFonts w:hint="cs"/>
          <w:rtl/>
        </w:rPr>
        <w:t xml:space="preserve"> ביבוא במגזרים תעשייתיים </w:t>
      </w:r>
      <w:r w:rsidR="00780BBA">
        <w:rPr>
          <w:rFonts w:hint="cs"/>
          <w:rtl/>
        </w:rPr>
        <w:t xml:space="preserve">לא מעטים </w:t>
      </w:r>
      <w:r>
        <w:rPr>
          <w:rFonts w:hint="cs"/>
          <w:rtl/>
        </w:rPr>
        <w:t>והיותו מבודד מבחינה כלכלית מסביבתו הקרובה.</w:t>
      </w:r>
      <w:r>
        <w:rPr>
          <w:rStyle w:val="FootnoteReference"/>
          <w:rtl/>
        </w:rPr>
        <w:footnoteReference w:id="3"/>
      </w:r>
      <w:r>
        <w:rPr>
          <w:rFonts w:hint="cs"/>
          <w:rtl/>
        </w:rPr>
        <w:t xml:space="preserve"> </w:t>
      </w:r>
    </w:p>
    <w:p w:rsidR="007A5E3C" w:rsidRDefault="007A5E3C" w:rsidP="006E3F05">
      <w:pPr>
        <w:ind w:right="-364"/>
        <w:rPr>
          <w:rtl/>
        </w:rPr>
      </w:pPr>
    </w:p>
    <w:p w:rsidR="007A5E3C" w:rsidRDefault="007A5E3C" w:rsidP="007A5E3C">
      <w:pPr>
        <w:pStyle w:val="ListParagraph"/>
        <w:spacing w:line="360" w:lineRule="auto"/>
        <w:ind w:right="-364"/>
        <w:rPr>
          <w:rFonts w:ascii="David" w:hAnsi="David"/>
          <w:sz w:val="24"/>
          <w:rtl/>
        </w:rPr>
      </w:pPr>
    </w:p>
    <w:p w:rsidR="007A5E3C" w:rsidRDefault="00987503" w:rsidP="007A5E3C">
      <w:pPr>
        <w:pStyle w:val="Heading4"/>
        <w:rPr>
          <w:rtl/>
        </w:rPr>
      </w:pPr>
      <w:bookmarkStart w:id="4" w:name="_Toc73613773"/>
      <w:r>
        <w:rPr>
          <w:rFonts w:hint="cs"/>
          <w:rtl/>
        </w:rPr>
        <w:t>להלן נוסח טיוטת הצו המוצע:</w:t>
      </w:r>
      <w:bookmarkEnd w:id="4"/>
      <w:r>
        <w:rPr>
          <w:rFonts w:hint="cs"/>
          <w:rtl/>
        </w:rPr>
        <w:t xml:space="preserve"> </w:t>
      </w:r>
    </w:p>
    <w:p w:rsidR="007A5E3C" w:rsidRDefault="00987503" w:rsidP="007A5E3C">
      <w:pPr>
        <w:bidi w:val="0"/>
      </w:pPr>
      <w:r>
        <w:rPr>
          <w:rtl/>
        </w:rPr>
        <w:br w:type="page"/>
      </w:r>
    </w:p>
    <w:p w:rsidR="007A5E3C" w:rsidRDefault="00987503" w:rsidP="00337410">
      <w:pPr>
        <w:pStyle w:val="HeadHatzaotHok"/>
        <w:keepNext w:val="0"/>
        <w:keepLines w:val="0"/>
        <w:rPr>
          <w:rtl/>
        </w:rPr>
      </w:pPr>
      <w:bookmarkStart w:id="5" w:name="_Toc73613774"/>
      <w:r>
        <w:rPr>
          <w:rFonts w:hint="cs"/>
          <w:rtl/>
        </w:rPr>
        <w:lastRenderedPageBreak/>
        <w:t xml:space="preserve">טיוטת </w:t>
      </w:r>
      <w:r w:rsidRPr="00F96E19">
        <w:rPr>
          <w:rFonts w:hint="cs"/>
          <w:rtl/>
        </w:rPr>
        <w:t>צ</w:t>
      </w:r>
      <w:r w:rsidR="006A787F" w:rsidRPr="00F96E19">
        <w:rPr>
          <w:rFonts w:hint="cs"/>
          <w:rtl/>
        </w:rPr>
        <w:t xml:space="preserve">ו </w:t>
      </w:r>
      <w:r w:rsidR="008A0FB5">
        <w:rPr>
          <w:rFonts w:hint="cs"/>
          <w:rtl/>
        </w:rPr>
        <w:t>ההגבלים העסקיים</w:t>
      </w:r>
      <w:r w:rsidR="006A787F">
        <w:rPr>
          <w:rFonts w:hint="cs"/>
          <w:rtl/>
        </w:rPr>
        <w:t xml:space="preserve"> (הוראת שעה), התשפ"א-2021</w:t>
      </w:r>
      <w:bookmarkEnd w:id="5"/>
    </w:p>
    <w:p w:rsidR="008A0FB5" w:rsidRDefault="008A0FB5" w:rsidP="00737FCF">
      <w:pPr>
        <w:pStyle w:val="TableSideHeading"/>
        <w:rPr>
          <w:rtl/>
        </w:rPr>
        <w:sectPr w:rsidR="008A0FB5" w:rsidSect="00A96AE7">
          <w:pgSz w:w="11906" w:h="16838"/>
          <w:pgMar w:top="1701" w:right="1134" w:bottom="1417" w:left="1134" w:header="708" w:footer="708" w:gutter="0"/>
          <w:cols w:space="708"/>
          <w:bidi/>
          <w:rtlGutter/>
          <w:docGrid w:linePitch="360"/>
        </w:sectPr>
      </w:pPr>
    </w:p>
    <w:p w:rsidR="008A0FB5" w:rsidRDefault="008A0FB5" w:rsidP="00737FCF">
      <w:pPr>
        <w:pStyle w:val="TableSideHeading"/>
        <w:rPr>
          <w:rtl/>
        </w:rPr>
        <w:sectPr w:rsidR="008A0FB5" w:rsidSect="008A0FB5">
          <w:type w:val="continuous"/>
          <w:pgSz w:w="11906" w:h="16838"/>
          <w:pgMar w:top="1701" w:right="1134" w:bottom="1417" w:left="1134" w:header="708" w:footer="708" w:gutter="0"/>
          <w:cols w:space="708"/>
          <w:bidi/>
          <w:rtlGutter/>
          <w:docGrid w:linePitch="360"/>
        </w:sectPr>
      </w:pPr>
    </w:p>
    <w:tbl>
      <w:tblPr>
        <w:bidiVisual/>
        <w:tblW w:w="0"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5D27A5" w:rsidTr="00737FCF">
        <w:trPr>
          <w:cantSplit/>
          <w:trHeight w:val="60"/>
        </w:trPr>
        <w:tc>
          <w:tcPr>
            <w:tcW w:w="1871" w:type="dxa"/>
          </w:tcPr>
          <w:p w:rsidR="007A5E3C" w:rsidRDefault="007A5E3C" w:rsidP="00737FCF">
            <w:pPr>
              <w:pStyle w:val="TableSideHeading"/>
              <w:rPr>
                <w:rtl/>
              </w:rPr>
            </w:pPr>
          </w:p>
        </w:tc>
        <w:tc>
          <w:tcPr>
            <w:tcW w:w="624" w:type="dxa"/>
          </w:tcPr>
          <w:p w:rsidR="007A5E3C" w:rsidRDefault="007A5E3C" w:rsidP="00737FCF">
            <w:pPr>
              <w:pStyle w:val="TableText"/>
            </w:pPr>
          </w:p>
        </w:tc>
        <w:tc>
          <w:tcPr>
            <w:tcW w:w="7146" w:type="dxa"/>
            <w:hideMark/>
          </w:tcPr>
          <w:p w:rsidR="007A5E3C" w:rsidRDefault="00987503" w:rsidP="008A0FB5">
            <w:pPr>
              <w:pStyle w:val="TableBlock"/>
            </w:pPr>
            <w:r>
              <w:rPr>
                <w:rtl/>
              </w:rPr>
              <w:t>בתוקף סמכותי לפי סעיף</w:t>
            </w:r>
            <w:r>
              <w:rPr>
                <w:rFonts w:hint="cs"/>
                <w:rtl/>
              </w:rPr>
              <w:t xml:space="preserve"> 2 לחוק </w:t>
            </w:r>
            <w:r w:rsidR="008A0FB5">
              <w:rPr>
                <w:rFonts w:hint="cs"/>
                <w:rtl/>
              </w:rPr>
              <w:t>ההגבלים העסקיים</w:t>
            </w:r>
            <w:r>
              <w:rPr>
                <w:rFonts w:hint="cs"/>
                <w:rtl/>
              </w:rPr>
              <w:t xml:space="preserve"> (תיקון מס' 20 </w:t>
            </w:r>
            <w:r>
              <w:rPr>
                <w:rtl/>
              </w:rPr>
              <w:t>–</w:t>
            </w:r>
            <w:r>
              <w:rPr>
                <w:rFonts w:hint="cs"/>
                <w:rtl/>
              </w:rPr>
              <w:t xml:space="preserve"> הוראת שעה), התשע"ח-2018</w:t>
            </w:r>
            <w:r>
              <w:rPr>
                <w:rStyle w:val="FootnoteReference"/>
                <w:rtl/>
              </w:rPr>
              <w:footnoteReference w:id="4"/>
            </w:r>
            <w:r>
              <w:rPr>
                <w:rFonts w:hint="cs"/>
                <w:rtl/>
              </w:rPr>
              <w:t>, בהמלצת הממונה על התחרות ו</w:t>
            </w:r>
            <w:r>
              <w:rPr>
                <w:rtl/>
              </w:rPr>
              <w:t>באישור</w:t>
            </w:r>
            <w:r>
              <w:rPr>
                <w:rFonts w:hint="cs"/>
                <w:rtl/>
              </w:rPr>
              <w:t xml:space="preserve"> ועדת הכלכלה של הכנסת, </w:t>
            </w:r>
            <w:r>
              <w:rPr>
                <w:rtl/>
              </w:rPr>
              <w:t>אני מצווה לאמור:</w:t>
            </w:r>
          </w:p>
        </w:tc>
      </w:tr>
      <w:tr w:rsidR="005D27A5" w:rsidTr="00737FCF">
        <w:trPr>
          <w:cantSplit/>
          <w:trHeight w:val="60"/>
        </w:trPr>
        <w:tc>
          <w:tcPr>
            <w:tcW w:w="1871" w:type="dxa"/>
          </w:tcPr>
          <w:p w:rsidR="007A5E3C" w:rsidRDefault="007A5E3C" w:rsidP="00737FCF">
            <w:pPr>
              <w:pStyle w:val="TableSideHeading"/>
            </w:pPr>
          </w:p>
        </w:tc>
        <w:tc>
          <w:tcPr>
            <w:tcW w:w="624" w:type="dxa"/>
          </w:tcPr>
          <w:p w:rsidR="007A5E3C" w:rsidRDefault="007A5E3C" w:rsidP="00737FCF">
            <w:pPr>
              <w:pStyle w:val="TableText"/>
            </w:pPr>
          </w:p>
        </w:tc>
        <w:tc>
          <w:tcPr>
            <w:tcW w:w="7146" w:type="dxa"/>
          </w:tcPr>
          <w:p w:rsidR="007A5E3C" w:rsidRPr="00C82ED3" w:rsidRDefault="007A5E3C" w:rsidP="00737FCF">
            <w:pPr>
              <w:pStyle w:val="TableHead"/>
            </w:pPr>
          </w:p>
        </w:tc>
      </w:tr>
      <w:tr w:rsidR="008A0FB5" w:rsidTr="00737FCF">
        <w:trPr>
          <w:cantSplit/>
          <w:trHeight w:val="60"/>
        </w:trPr>
        <w:tc>
          <w:tcPr>
            <w:tcW w:w="1871" w:type="dxa"/>
          </w:tcPr>
          <w:p w:rsidR="008A0FB5" w:rsidRDefault="008A0FB5" w:rsidP="00337410">
            <w:pPr>
              <w:pStyle w:val="TableSideHeading"/>
              <w:rPr>
                <w:rtl/>
              </w:rPr>
            </w:pPr>
            <w:bookmarkStart w:id="6" w:name="_Toc73613775"/>
            <w:r>
              <w:rPr>
                <w:rFonts w:hint="cs"/>
                <w:rtl/>
              </w:rPr>
              <w:t>תיקון השם</w:t>
            </w:r>
            <w:bookmarkEnd w:id="6"/>
          </w:p>
        </w:tc>
        <w:tc>
          <w:tcPr>
            <w:tcW w:w="624" w:type="dxa"/>
          </w:tcPr>
          <w:p w:rsidR="008A0FB5" w:rsidRDefault="008A0FB5" w:rsidP="00737FCF">
            <w:pPr>
              <w:pStyle w:val="TableText"/>
              <w:numPr>
                <w:ilvl w:val="0"/>
                <w:numId w:val="2"/>
              </w:numPr>
            </w:pPr>
          </w:p>
        </w:tc>
        <w:tc>
          <w:tcPr>
            <w:tcW w:w="7146" w:type="dxa"/>
          </w:tcPr>
          <w:p w:rsidR="008A0FB5" w:rsidRDefault="008A0FB5" w:rsidP="008A0FB5">
            <w:pPr>
              <w:pStyle w:val="TableBlock"/>
              <w:rPr>
                <w:rtl/>
              </w:rPr>
            </w:pPr>
            <w:r>
              <w:rPr>
                <w:rFonts w:hint="cs"/>
                <w:rtl/>
              </w:rPr>
              <w:t xml:space="preserve">בחוק ההגבלים העסקיים (תיקון מס' 20 </w:t>
            </w:r>
            <w:r>
              <w:rPr>
                <w:rtl/>
              </w:rPr>
              <w:t>–</w:t>
            </w:r>
            <w:r>
              <w:rPr>
                <w:rFonts w:hint="cs"/>
                <w:rtl/>
              </w:rPr>
              <w:t xml:space="preserve"> הוראת שעה), התשע"ח-2018</w:t>
            </w:r>
            <w:r>
              <w:rPr>
                <w:rStyle w:val="FootnoteReference"/>
                <w:rtl/>
              </w:rPr>
              <w:footnoteReference w:id="5"/>
            </w:r>
            <w:r>
              <w:rPr>
                <w:rFonts w:hint="cs"/>
                <w:rtl/>
              </w:rPr>
              <w:t xml:space="preserve"> (להלן </w:t>
            </w:r>
            <w:r>
              <w:rPr>
                <w:rtl/>
              </w:rPr>
              <w:t>–</w:t>
            </w:r>
            <w:r>
              <w:rPr>
                <w:rFonts w:hint="cs"/>
                <w:rtl/>
              </w:rPr>
              <w:t xml:space="preserve"> החוק העיקרי) במקום שם החוק העיקרי יבוא: "חוק התחרות הכלכלית (תיקון מס' 20 </w:t>
            </w:r>
            <w:r>
              <w:rPr>
                <w:rtl/>
              </w:rPr>
              <w:t>–</w:t>
            </w:r>
            <w:r>
              <w:rPr>
                <w:rFonts w:hint="cs"/>
                <w:rtl/>
              </w:rPr>
              <w:t xml:space="preserve"> הוראת שעה), התשע"ח-2018".</w:t>
            </w:r>
          </w:p>
        </w:tc>
      </w:tr>
      <w:tr w:rsidR="008A0FB5" w:rsidTr="00737FCF">
        <w:trPr>
          <w:cantSplit/>
          <w:trHeight w:val="60"/>
        </w:trPr>
        <w:tc>
          <w:tcPr>
            <w:tcW w:w="1871" w:type="dxa"/>
          </w:tcPr>
          <w:p w:rsidR="008A0FB5" w:rsidRDefault="008A0FB5" w:rsidP="00737FCF">
            <w:pPr>
              <w:pStyle w:val="TableSideHeading"/>
              <w:rPr>
                <w:rtl/>
              </w:rPr>
            </w:pPr>
            <w:bookmarkStart w:id="7" w:name="_Toc73613776"/>
            <w:r>
              <w:rPr>
                <w:rFonts w:hint="cs"/>
                <w:rtl/>
              </w:rPr>
              <w:t>תיקון הפתיח</w:t>
            </w:r>
            <w:bookmarkEnd w:id="7"/>
          </w:p>
        </w:tc>
        <w:tc>
          <w:tcPr>
            <w:tcW w:w="624" w:type="dxa"/>
          </w:tcPr>
          <w:p w:rsidR="008A0FB5" w:rsidRDefault="008A0FB5" w:rsidP="00737FCF">
            <w:pPr>
              <w:pStyle w:val="TableText"/>
              <w:numPr>
                <w:ilvl w:val="0"/>
                <w:numId w:val="2"/>
              </w:numPr>
            </w:pPr>
          </w:p>
        </w:tc>
        <w:tc>
          <w:tcPr>
            <w:tcW w:w="7146" w:type="dxa"/>
          </w:tcPr>
          <w:p w:rsidR="008A0FB5" w:rsidRDefault="008A0FB5" w:rsidP="008A0FB5">
            <w:pPr>
              <w:pStyle w:val="TableBlock"/>
              <w:rPr>
                <w:rtl/>
              </w:rPr>
            </w:pPr>
            <w:r>
              <w:rPr>
                <w:rFonts w:hint="cs"/>
                <w:rtl/>
              </w:rPr>
              <w:t xml:space="preserve">בחוק העיקרי, ברישה במקום "את חוק ההגבלים העסקיים" יבוא "את חוק התחרות הכלכלית". </w:t>
            </w:r>
          </w:p>
        </w:tc>
      </w:tr>
      <w:tr w:rsidR="00324976" w:rsidTr="00737FCF">
        <w:trPr>
          <w:cantSplit/>
          <w:trHeight w:val="60"/>
        </w:trPr>
        <w:tc>
          <w:tcPr>
            <w:tcW w:w="1871" w:type="dxa"/>
          </w:tcPr>
          <w:p w:rsidR="00324976" w:rsidRDefault="00324976" w:rsidP="00737FCF">
            <w:pPr>
              <w:pStyle w:val="TableSideHeading"/>
              <w:rPr>
                <w:rtl/>
              </w:rPr>
            </w:pPr>
            <w:bookmarkStart w:id="8" w:name="_Toc73613777"/>
            <w:r>
              <w:rPr>
                <w:rFonts w:hint="cs"/>
                <w:rtl/>
              </w:rPr>
              <w:t>תיקון כותרת שוליים</w:t>
            </w:r>
            <w:bookmarkEnd w:id="8"/>
          </w:p>
        </w:tc>
        <w:tc>
          <w:tcPr>
            <w:tcW w:w="624" w:type="dxa"/>
          </w:tcPr>
          <w:p w:rsidR="00324976" w:rsidRDefault="00324976" w:rsidP="00337410">
            <w:pPr>
              <w:pStyle w:val="TableText"/>
              <w:numPr>
                <w:ilvl w:val="0"/>
                <w:numId w:val="2"/>
              </w:numPr>
            </w:pPr>
          </w:p>
        </w:tc>
        <w:tc>
          <w:tcPr>
            <w:tcW w:w="7146" w:type="dxa"/>
          </w:tcPr>
          <w:p w:rsidR="00324976" w:rsidRDefault="00324976" w:rsidP="008A0FB5">
            <w:pPr>
              <w:pStyle w:val="TableBlock"/>
              <w:rPr>
                <w:rtl/>
              </w:rPr>
            </w:pPr>
            <w:r>
              <w:rPr>
                <w:rFonts w:hint="cs"/>
                <w:rtl/>
              </w:rPr>
              <w:t xml:space="preserve">בסעיף 1 לחוק העיקרי, בכותרת השוליים, במקום "חוק ההגבלים העסקיים" יבוא "חוק התחרות הכלכלית". </w:t>
            </w:r>
          </w:p>
        </w:tc>
      </w:tr>
      <w:tr w:rsidR="008A0FB5" w:rsidTr="00737FCF">
        <w:trPr>
          <w:cantSplit/>
          <w:trHeight w:val="60"/>
        </w:trPr>
        <w:tc>
          <w:tcPr>
            <w:tcW w:w="1871" w:type="dxa"/>
          </w:tcPr>
          <w:p w:rsidR="008A0FB5" w:rsidRDefault="008A0FB5" w:rsidP="00737FCF">
            <w:pPr>
              <w:pStyle w:val="TableSideHeading"/>
              <w:rPr>
                <w:rtl/>
              </w:rPr>
            </w:pPr>
            <w:bookmarkStart w:id="9" w:name="_Toc73613778"/>
            <w:r>
              <w:rPr>
                <w:rFonts w:hint="cs"/>
                <w:rtl/>
              </w:rPr>
              <w:t>תיקון סעיף 2</w:t>
            </w:r>
            <w:bookmarkEnd w:id="9"/>
          </w:p>
        </w:tc>
        <w:tc>
          <w:tcPr>
            <w:tcW w:w="624" w:type="dxa"/>
          </w:tcPr>
          <w:p w:rsidR="008A0FB5" w:rsidRDefault="008A0FB5" w:rsidP="00737FCF">
            <w:pPr>
              <w:pStyle w:val="TableText"/>
              <w:numPr>
                <w:ilvl w:val="0"/>
                <w:numId w:val="2"/>
              </w:numPr>
            </w:pPr>
          </w:p>
        </w:tc>
        <w:tc>
          <w:tcPr>
            <w:tcW w:w="7146" w:type="dxa"/>
          </w:tcPr>
          <w:p w:rsidR="008A0FB5" w:rsidRDefault="008A0FB5" w:rsidP="008A0FB5">
            <w:pPr>
              <w:pStyle w:val="TableBlock"/>
              <w:rPr>
                <w:rtl/>
              </w:rPr>
            </w:pPr>
            <w:r>
              <w:rPr>
                <w:rFonts w:hint="cs"/>
                <w:rtl/>
              </w:rPr>
              <w:t xml:space="preserve">בסעיף 2 לחוק העיקרי במקום "הממונה על הגבלים עסקיים" יבוא "הממונה על התחרות". </w:t>
            </w:r>
          </w:p>
        </w:tc>
      </w:tr>
      <w:tr w:rsidR="005D27A5" w:rsidTr="00737FCF">
        <w:trPr>
          <w:cantSplit/>
          <w:trHeight w:val="60"/>
        </w:trPr>
        <w:tc>
          <w:tcPr>
            <w:tcW w:w="1871" w:type="dxa"/>
          </w:tcPr>
          <w:p w:rsidR="007A5E3C" w:rsidRDefault="008A0FB5" w:rsidP="00737FCF">
            <w:pPr>
              <w:pStyle w:val="TableSideHeading"/>
            </w:pPr>
            <w:bookmarkStart w:id="10" w:name="_Toc73613779"/>
            <w:r>
              <w:rPr>
                <w:rFonts w:hint="cs"/>
                <w:rtl/>
              </w:rPr>
              <w:t>הארכת הוראת השעה</w:t>
            </w:r>
            <w:bookmarkEnd w:id="10"/>
          </w:p>
        </w:tc>
        <w:tc>
          <w:tcPr>
            <w:tcW w:w="624" w:type="dxa"/>
          </w:tcPr>
          <w:p w:rsidR="007A5E3C" w:rsidRDefault="007A5E3C" w:rsidP="00737FCF">
            <w:pPr>
              <w:pStyle w:val="TableText"/>
              <w:numPr>
                <w:ilvl w:val="0"/>
                <w:numId w:val="2"/>
              </w:numPr>
            </w:pPr>
          </w:p>
        </w:tc>
        <w:tc>
          <w:tcPr>
            <w:tcW w:w="7146" w:type="dxa"/>
          </w:tcPr>
          <w:p w:rsidR="007A5E3C" w:rsidRPr="0085678A" w:rsidRDefault="00987503" w:rsidP="00337410">
            <w:pPr>
              <w:pStyle w:val="TableBlock"/>
              <w:rPr>
                <w:rtl/>
              </w:rPr>
            </w:pPr>
            <w:r>
              <w:rPr>
                <w:rFonts w:hint="cs"/>
                <w:rtl/>
              </w:rPr>
              <w:t xml:space="preserve">תוקפה של הוראת השעה בחוק </w:t>
            </w:r>
            <w:r w:rsidR="00324976">
              <w:rPr>
                <w:rFonts w:hint="cs"/>
                <w:rtl/>
              </w:rPr>
              <w:t>העיקרי</w:t>
            </w:r>
            <w:r>
              <w:rPr>
                <w:rFonts w:hint="cs"/>
                <w:rtl/>
              </w:rPr>
              <w:t xml:space="preserve"> יוארך עד יום כ' בתמוז התשפ"ד (26 ביולי 2024).  </w:t>
            </w:r>
          </w:p>
        </w:tc>
      </w:tr>
    </w:tbl>
    <w:p w:rsidR="007A5E3C" w:rsidRDefault="007A5E3C" w:rsidP="007A5E3C"/>
    <w:p w:rsidR="007A5E3C" w:rsidRDefault="007A5E3C" w:rsidP="007A5E3C">
      <w:pPr>
        <w:rPr>
          <w:rtl/>
        </w:rPr>
      </w:pPr>
    </w:p>
    <w:p w:rsidR="007A5E3C" w:rsidRDefault="00987503" w:rsidP="007A5E3C">
      <w:pPr>
        <w:rPr>
          <w:rFonts w:eastAsia="Calibri"/>
          <w:rtl/>
        </w:rPr>
      </w:pPr>
      <w:r>
        <w:rPr>
          <w:rFonts w:eastAsia="Calibri" w:hint="cs"/>
          <w:rtl/>
        </w:rPr>
        <w:t>___ ב________ התש_______ (___ ב________ ____20)</w:t>
      </w:r>
    </w:p>
    <w:p w:rsidR="007A5E3C" w:rsidRDefault="00987503" w:rsidP="007A5E3C">
      <w:pPr>
        <w:rPr>
          <w:rFonts w:eastAsia="Calibri"/>
          <w:rtl/>
        </w:rPr>
      </w:pPr>
      <w:r>
        <w:rPr>
          <w:rFonts w:eastAsia="Calibri" w:hint="cs"/>
          <w:rtl/>
        </w:rPr>
        <w:t>[תאריך עברי] ([תאריך לועזי])</w:t>
      </w:r>
    </w:p>
    <w:p w:rsidR="007A5E3C" w:rsidRDefault="00987503" w:rsidP="007A5E3C">
      <w:pPr>
        <w:rPr>
          <w:rFonts w:eastAsia="Calibri"/>
          <w:rtl/>
        </w:rPr>
      </w:pPr>
      <w:r>
        <w:rPr>
          <w:rFonts w:eastAsia="Calibri" w:hint="cs"/>
          <w:rtl/>
        </w:rPr>
        <w:t>(חמ _____-3)</w:t>
      </w:r>
    </w:p>
    <w:p w:rsidR="007A5E3C" w:rsidRDefault="007A5E3C" w:rsidP="007A5E3C">
      <w:pPr>
        <w:rPr>
          <w:rFonts w:eastAsia="Calibri"/>
          <w:rtl/>
        </w:rPr>
      </w:pPr>
    </w:p>
    <w:p w:rsidR="007A5E3C" w:rsidRDefault="00987503" w:rsidP="007A5E3C">
      <w:pPr>
        <w:ind w:left="5760"/>
        <w:jc w:val="center"/>
        <w:rPr>
          <w:rFonts w:eastAsia="Calibri"/>
          <w:rtl/>
        </w:rPr>
      </w:pPr>
      <w:r>
        <w:rPr>
          <w:rFonts w:eastAsia="Calibri" w:hint="cs"/>
          <w:rtl/>
        </w:rPr>
        <w:t>__________________</w:t>
      </w:r>
    </w:p>
    <w:p w:rsidR="007A5E3C" w:rsidRDefault="00987503" w:rsidP="007A5E3C">
      <w:pPr>
        <w:ind w:left="5760"/>
        <w:jc w:val="center"/>
        <w:rPr>
          <w:rFonts w:eastAsia="Calibri"/>
          <w:rtl/>
        </w:rPr>
      </w:pPr>
      <w:r>
        <w:rPr>
          <w:rFonts w:eastAsia="Calibri" w:hint="cs"/>
          <w:rtl/>
        </w:rPr>
        <w:t>[שם מלא של המתקין]</w:t>
      </w:r>
    </w:p>
    <w:p w:rsidR="007A5E3C" w:rsidRDefault="00987503" w:rsidP="007A5E3C">
      <w:pPr>
        <w:ind w:left="5760"/>
        <w:jc w:val="center"/>
        <w:rPr>
          <w:rFonts w:eastAsia="Calibri"/>
          <w:rtl/>
        </w:rPr>
      </w:pPr>
      <w:r>
        <w:rPr>
          <w:rFonts w:eastAsia="Calibri" w:hint="cs"/>
          <w:rtl/>
        </w:rPr>
        <w:t>שר הכלכלה</w:t>
      </w:r>
    </w:p>
    <w:p w:rsidR="007A5E3C" w:rsidRDefault="00987503" w:rsidP="007A5E3C">
      <w:pPr>
        <w:widowControl/>
        <w:bidi w:val="0"/>
        <w:spacing w:after="160" w:line="259" w:lineRule="auto"/>
        <w:ind w:left="0"/>
        <w:contextualSpacing w:val="0"/>
        <w:jc w:val="left"/>
        <w:rPr>
          <w:rFonts w:ascii="Arial" w:eastAsia="Arial Unicode MS" w:hAnsi="Arial"/>
          <w:b/>
          <w:snapToGrid w:val="0"/>
          <w:spacing w:val="40"/>
          <w:sz w:val="20"/>
          <w:szCs w:val="26"/>
        </w:rPr>
      </w:pPr>
      <w:r>
        <w:rPr>
          <w:rtl/>
        </w:rPr>
        <w:br w:type="page"/>
      </w:r>
    </w:p>
    <w:p w:rsidR="007A5E3C" w:rsidRDefault="00987503" w:rsidP="007A5E3C">
      <w:pPr>
        <w:pStyle w:val="HeadDivreiHesber"/>
        <w:rPr>
          <w:rtl/>
        </w:rPr>
      </w:pPr>
      <w:bookmarkStart w:id="11" w:name="_Toc73613780"/>
      <w:r>
        <w:rPr>
          <w:rtl/>
        </w:rPr>
        <w:t>דברי הסבר</w:t>
      </w:r>
      <w:bookmarkEnd w:id="11"/>
    </w:p>
    <w:p w:rsidR="00324976" w:rsidRDefault="00324976" w:rsidP="00324976">
      <w:pPr>
        <w:pStyle w:val="ListParagraph"/>
        <w:spacing w:line="360" w:lineRule="auto"/>
        <w:ind w:right="-364"/>
        <w:rPr>
          <w:rFonts w:ascii="David" w:hAnsi="David"/>
          <w:sz w:val="24"/>
          <w:rtl/>
        </w:rPr>
      </w:pPr>
      <w:r>
        <w:rPr>
          <w:rFonts w:ascii="David" w:hAnsi="David" w:hint="cs"/>
          <w:sz w:val="24"/>
          <w:rtl/>
        </w:rPr>
        <w:t xml:space="preserve">ביום 26.7.2018 פורסם חוק ההגבלים העסקיים (תיקון מס' 20 </w:t>
      </w:r>
      <w:r>
        <w:rPr>
          <w:rFonts w:ascii="David" w:hAnsi="David"/>
          <w:sz w:val="24"/>
          <w:rtl/>
        </w:rPr>
        <w:t>–</w:t>
      </w:r>
      <w:r>
        <w:rPr>
          <w:rFonts w:ascii="David" w:hAnsi="David" w:hint="cs"/>
          <w:sz w:val="24"/>
          <w:rtl/>
        </w:rPr>
        <w:t xml:space="preserve"> הוראת שעה), התשע"ח-2018. התיקון נחקק כהוראת שעה לשלוש שנים בלבד, ומשכך צפוי לפקוע ביום 26.7.2021. אולם המחוקק הסמיך את שר הכלכלה להאריך בצו את תוקפו של התיקון. מכאן הצו המוצע. </w:t>
      </w:r>
    </w:p>
    <w:p w:rsidR="00324976" w:rsidRDefault="00324976" w:rsidP="001C117F">
      <w:pPr>
        <w:pStyle w:val="ListParagraph"/>
        <w:spacing w:line="360" w:lineRule="auto"/>
        <w:ind w:right="-364"/>
        <w:rPr>
          <w:rFonts w:ascii="David" w:hAnsi="David"/>
          <w:sz w:val="24"/>
          <w:rtl/>
        </w:rPr>
      </w:pPr>
    </w:p>
    <w:p w:rsidR="007A5E3C" w:rsidRDefault="00987503" w:rsidP="001C117F">
      <w:pPr>
        <w:pStyle w:val="ListParagraph"/>
        <w:spacing w:line="360" w:lineRule="auto"/>
        <w:ind w:right="-364"/>
        <w:rPr>
          <w:rFonts w:ascii="David" w:hAnsi="David"/>
          <w:sz w:val="24"/>
          <w:rtl/>
        </w:rPr>
      </w:pPr>
      <w:r w:rsidRPr="009912E9">
        <w:rPr>
          <w:rFonts w:ascii="David" w:hAnsi="David"/>
          <w:sz w:val="24"/>
          <w:rtl/>
        </w:rPr>
        <w:t>כמוסבר ב</w:t>
      </w:r>
      <w:r w:rsidR="003337C1">
        <w:rPr>
          <w:rFonts w:ascii="David" w:hAnsi="David" w:hint="cs"/>
          <w:sz w:val="24"/>
          <w:rtl/>
        </w:rPr>
        <w:t>הצעת החוק</w:t>
      </w:r>
      <w:r>
        <w:rPr>
          <w:rFonts w:ascii="David" w:hAnsi="David" w:hint="cs"/>
          <w:sz w:val="24"/>
          <w:rtl/>
        </w:rPr>
        <w:t xml:space="preserve"> </w:t>
      </w:r>
      <w:hyperlink w:history="1">
        <w:r w:rsidRPr="009912E9">
          <w:rPr>
            <w:rStyle w:val="Hyperlink"/>
            <w:rFonts w:ascii="David" w:hAnsi="David"/>
            <w:sz w:val="24"/>
            <w:rtl/>
          </w:rPr>
          <w:t>ה"ח הממשלה תשע"ח מס' 1174</w:t>
        </w:r>
      </w:hyperlink>
      <w:r w:rsidRPr="009912E9">
        <w:rPr>
          <w:rFonts w:ascii="David" w:hAnsi="David"/>
          <w:color w:val="000000"/>
          <w:sz w:val="24"/>
        </w:rPr>
        <w:t> </w:t>
      </w:r>
      <w:r w:rsidRPr="009912E9">
        <w:rPr>
          <w:rFonts w:ascii="David" w:hAnsi="David"/>
          <w:color w:val="000000"/>
          <w:sz w:val="24"/>
          <w:rtl/>
        </w:rPr>
        <w:t>עמ' 158</w:t>
      </w:r>
      <w:r>
        <w:rPr>
          <w:rFonts w:ascii="David" w:hAnsi="David" w:hint="cs"/>
          <w:sz w:val="24"/>
          <w:rtl/>
        </w:rPr>
        <w:t xml:space="preserve">, תחרות מצד יבוא מקביל היא בעלת משמעות רבה, בעיקר בהיבט התחרות על המחיר. החשיבות התחרותית של יבוא אישי, בעיקר באמצעות האינטרנט, גוברת גם כן בשנים האחרונות. תכליתו המרכזית של פרק ד'2 לחוק התחרות הכלכלית, תשמ"ח-1988 (להלן </w:t>
      </w:r>
      <w:r>
        <w:rPr>
          <w:rFonts w:ascii="David" w:hAnsi="David" w:hint="cs"/>
          <w:b/>
          <w:bCs/>
          <w:sz w:val="24"/>
          <w:rtl/>
        </w:rPr>
        <w:t>החוק</w:t>
      </w:r>
      <w:r>
        <w:rPr>
          <w:rFonts w:ascii="David" w:hAnsi="David" w:hint="cs"/>
          <w:sz w:val="24"/>
          <w:rtl/>
        </w:rPr>
        <w:t xml:space="preserve">) </w:t>
      </w:r>
      <w:r>
        <w:rPr>
          <w:rFonts w:ascii="David" w:hAnsi="David"/>
          <w:sz w:val="24"/>
          <w:rtl/>
        </w:rPr>
        <w:t>–</w:t>
      </w:r>
      <w:r>
        <w:rPr>
          <w:rFonts w:ascii="David" w:hAnsi="David" w:hint="cs"/>
          <w:sz w:val="24"/>
          <w:rtl/>
        </w:rPr>
        <w:t xml:space="preserve"> "מתן הוראות ליבואן ישיר </w:t>
      </w:r>
      <w:r>
        <w:rPr>
          <w:rFonts w:ascii="David" w:hAnsi="David"/>
          <w:sz w:val="24"/>
          <w:rtl/>
        </w:rPr>
        <w:t>–</w:t>
      </w:r>
      <w:r>
        <w:rPr>
          <w:rFonts w:ascii="David" w:hAnsi="David" w:hint="cs"/>
          <w:sz w:val="24"/>
          <w:rtl/>
        </w:rPr>
        <w:t xml:space="preserve"> הוראת שעה" (להלן </w:t>
      </w:r>
      <w:r>
        <w:rPr>
          <w:rFonts w:ascii="David" w:hAnsi="David" w:hint="cs"/>
          <w:b/>
          <w:bCs/>
          <w:sz w:val="24"/>
          <w:rtl/>
        </w:rPr>
        <w:t>הוראת השעה</w:t>
      </w:r>
      <w:r>
        <w:rPr>
          <w:rFonts w:ascii="David" w:hAnsi="David" w:hint="cs"/>
          <w:sz w:val="24"/>
          <w:rtl/>
        </w:rPr>
        <w:t>)</w:t>
      </w:r>
      <w:r>
        <w:rPr>
          <w:rStyle w:val="FootnoteReference"/>
          <w:rFonts w:ascii="David" w:hAnsi="David"/>
          <w:sz w:val="24"/>
          <w:rtl/>
        </w:rPr>
        <w:footnoteReference w:id="6"/>
      </w:r>
      <w:r>
        <w:rPr>
          <w:rFonts w:ascii="David" w:hAnsi="David" w:hint="cs"/>
          <w:sz w:val="24"/>
          <w:rtl/>
        </w:rPr>
        <w:t xml:space="preserve"> היא למנוע פגיעה בתחרות בידי יבואן ישיר בדרך של סיכול או צמצום התחרות מיבוא מקביל. אשר על כן, הוראת השעה מסמיכה את הממונה על התחרות (להלן </w:t>
      </w:r>
      <w:r>
        <w:rPr>
          <w:rFonts w:ascii="David" w:hAnsi="David" w:hint="cs"/>
          <w:b/>
          <w:bCs/>
          <w:sz w:val="24"/>
          <w:rtl/>
        </w:rPr>
        <w:t>הממונה</w:t>
      </w:r>
      <w:r>
        <w:rPr>
          <w:rFonts w:ascii="David" w:hAnsi="David" w:hint="cs"/>
          <w:sz w:val="24"/>
          <w:rtl/>
        </w:rPr>
        <w:t>)</w:t>
      </w:r>
      <w:r>
        <w:rPr>
          <w:rFonts w:ascii="David" w:hAnsi="David" w:hint="cs"/>
          <w:b/>
          <w:bCs/>
          <w:sz w:val="24"/>
          <w:rtl/>
        </w:rPr>
        <w:t xml:space="preserve"> </w:t>
      </w:r>
      <w:r>
        <w:rPr>
          <w:rFonts w:ascii="David" w:hAnsi="David" w:hint="cs"/>
          <w:sz w:val="24"/>
          <w:rtl/>
        </w:rPr>
        <w:t xml:space="preserve">להורות ליבואן ישיר בדבר צעדים קונקרטיים שעליו לנקוט כדי למנוע פגיעה </w:t>
      </w:r>
      <w:r w:rsidR="001C117F">
        <w:rPr>
          <w:rFonts w:ascii="David" w:hAnsi="David" w:hint="cs"/>
          <w:sz w:val="24"/>
          <w:rtl/>
        </w:rPr>
        <w:t xml:space="preserve">פוטנציאלית </w:t>
      </w:r>
      <w:r>
        <w:rPr>
          <w:rFonts w:ascii="David" w:hAnsi="David" w:hint="cs"/>
          <w:sz w:val="24"/>
          <w:rtl/>
        </w:rPr>
        <w:t>בתחרות ש</w:t>
      </w:r>
      <w:r w:rsidR="001C117F">
        <w:rPr>
          <w:rFonts w:ascii="David" w:hAnsi="David" w:hint="cs"/>
          <w:sz w:val="24"/>
          <w:rtl/>
        </w:rPr>
        <w:t>יוצר</w:t>
      </w:r>
      <w:r>
        <w:rPr>
          <w:rFonts w:ascii="David" w:hAnsi="David" w:hint="cs"/>
          <w:sz w:val="24"/>
          <w:rtl/>
        </w:rPr>
        <w:t xml:space="preserve"> יבוא מקביל או יבוא אישי. הוראת השעה מאפשרת לממונה לפעול נקודתית</w:t>
      </w:r>
      <w:r w:rsidR="001C117F" w:rsidRPr="001C117F">
        <w:rPr>
          <w:rFonts w:ascii="David" w:hAnsi="David" w:hint="cs"/>
          <w:sz w:val="24"/>
          <w:rtl/>
        </w:rPr>
        <w:t xml:space="preserve"> </w:t>
      </w:r>
      <w:r w:rsidR="001C117F">
        <w:rPr>
          <w:rFonts w:ascii="David" w:hAnsi="David" w:hint="cs"/>
          <w:sz w:val="24"/>
          <w:rtl/>
        </w:rPr>
        <w:t>אל מול יבואן ישיר שכתוצאה ממעמדו או התנהגותו קיים חשש לפגיעה משמעותית ביבוא מקביל או אישי</w:t>
      </w:r>
      <w:r>
        <w:rPr>
          <w:rFonts w:ascii="David" w:hAnsi="David" w:hint="cs"/>
          <w:sz w:val="24"/>
          <w:rtl/>
        </w:rPr>
        <w:t xml:space="preserve"> ובד בבד אינה כוללת איסור התנהגות גורף החל על כלל היבואנים הישירים ואשר עלול למנוע שימוש בפעולות עסקיות לגיטימיות ופרו-תחרותיות. </w:t>
      </w:r>
    </w:p>
    <w:p w:rsidR="007A5E3C" w:rsidRDefault="007A5E3C" w:rsidP="007A5E3C">
      <w:pPr>
        <w:pStyle w:val="ListParagraph"/>
        <w:spacing w:line="360" w:lineRule="auto"/>
        <w:ind w:right="-364"/>
        <w:rPr>
          <w:rFonts w:ascii="David" w:hAnsi="David"/>
          <w:sz w:val="24"/>
          <w:rtl/>
        </w:rPr>
      </w:pPr>
    </w:p>
    <w:p w:rsidR="007A5E3C" w:rsidRDefault="00987503" w:rsidP="007A5E3C">
      <w:pPr>
        <w:pStyle w:val="ListParagraph"/>
        <w:spacing w:line="360" w:lineRule="auto"/>
        <w:ind w:right="-364"/>
        <w:rPr>
          <w:rtl/>
        </w:rPr>
      </w:pPr>
      <w:r>
        <w:rPr>
          <w:rFonts w:ascii="David" w:hAnsi="David" w:hint="cs"/>
          <w:sz w:val="24"/>
          <w:rtl/>
        </w:rPr>
        <w:t xml:space="preserve">שר הכלכלה, בהמלצת הממונה ובאישור ועדת הכלכלה של הכנסת, מוסמך להאריך בצו את תקופת הוראת השעה בתקופה נוספת שלא תעלה על שלוש שנים. </w:t>
      </w:r>
    </w:p>
    <w:p w:rsidR="007A5E3C" w:rsidRDefault="007A5E3C" w:rsidP="007A5E3C">
      <w:pPr>
        <w:pStyle w:val="ListParagraph"/>
        <w:spacing w:line="360" w:lineRule="auto"/>
        <w:ind w:right="-364"/>
        <w:rPr>
          <w:rtl/>
        </w:rPr>
      </w:pPr>
    </w:p>
    <w:p w:rsidR="007A5E3C" w:rsidRDefault="00987503" w:rsidP="001C117F">
      <w:pPr>
        <w:ind w:right="-364"/>
        <w:rPr>
          <w:rtl/>
        </w:rPr>
      </w:pPr>
      <w:r>
        <w:rPr>
          <w:rFonts w:hint="cs"/>
          <w:rtl/>
        </w:rPr>
        <w:t>מוצע להאריך בצו את תקופת הוראת השעה בתקופה נוספת בת שלוש שנים. זאת בשים לב לשימוש שנעשה בסמכות בפועל</w:t>
      </w:r>
      <w:r>
        <w:rPr>
          <w:rStyle w:val="FootnoteReference"/>
          <w:rtl/>
        </w:rPr>
        <w:footnoteReference w:id="7"/>
      </w:r>
      <w:r>
        <w:rPr>
          <w:rFonts w:hint="cs"/>
          <w:rtl/>
        </w:rPr>
        <w:t xml:space="preserve"> ולכך שלא חל שינוי במאפייני המשק הישראלי מאז נחקקה הוראת השעה - גודלו הקטן יחסית, תלות </w:t>
      </w:r>
      <w:r w:rsidR="001C117F">
        <w:rPr>
          <w:rFonts w:hint="cs"/>
          <w:rtl/>
        </w:rPr>
        <w:t>משמעותית</w:t>
      </w:r>
      <w:r>
        <w:rPr>
          <w:rFonts w:hint="cs"/>
          <w:rtl/>
        </w:rPr>
        <w:t xml:space="preserve"> ביבוא במגזרים תעשייתיים </w:t>
      </w:r>
      <w:r w:rsidR="001C117F">
        <w:rPr>
          <w:rFonts w:hint="cs"/>
          <w:rtl/>
        </w:rPr>
        <w:t xml:space="preserve">לא מעטים </w:t>
      </w:r>
      <w:r>
        <w:rPr>
          <w:rFonts w:hint="cs"/>
          <w:rtl/>
        </w:rPr>
        <w:t>והיותו מבודד מבחינה כלכלית מסביבתו הקרובה.</w:t>
      </w:r>
      <w:r>
        <w:rPr>
          <w:rStyle w:val="FootnoteReference"/>
          <w:rtl/>
        </w:rPr>
        <w:footnoteReference w:id="8"/>
      </w:r>
      <w:r>
        <w:rPr>
          <w:rFonts w:hint="cs"/>
          <w:rtl/>
        </w:rPr>
        <w:t xml:space="preserve"> </w:t>
      </w:r>
    </w:p>
    <w:p w:rsidR="007A5E3C" w:rsidRDefault="007A5E3C" w:rsidP="007A5E3C">
      <w:pPr>
        <w:pStyle w:val="ListParagraph"/>
        <w:spacing w:line="360" w:lineRule="auto"/>
        <w:ind w:right="-364"/>
        <w:rPr>
          <w:rtl/>
        </w:rPr>
      </w:pPr>
    </w:p>
    <w:p w:rsidR="007A5E3C" w:rsidRDefault="007A5E3C" w:rsidP="007A5E3C">
      <w:pPr>
        <w:pStyle w:val="ListParagraph"/>
        <w:spacing w:line="360" w:lineRule="auto"/>
        <w:ind w:right="-364"/>
        <w:rPr>
          <w:rtl/>
        </w:rPr>
      </w:pPr>
    </w:p>
    <w:p w:rsidR="007A5E3C" w:rsidRPr="00537828" w:rsidRDefault="007A5E3C" w:rsidP="007A5E3C">
      <w:pPr>
        <w:pStyle w:val="Hesber1st"/>
        <w:tabs>
          <w:tab w:val="clear" w:pos="680"/>
        </w:tabs>
        <w:rPr>
          <w:rtl/>
        </w:rPr>
      </w:pPr>
    </w:p>
    <w:p w:rsidR="006A5A5B" w:rsidRPr="007A5E3C" w:rsidRDefault="006A5A5B" w:rsidP="007A5E3C"/>
    <w:sectPr w:rsidR="006A5A5B" w:rsidRPr="007A5E3C" w:rsidSect="008A0FB5">
      <w:footnotePr>
        <w:numRestart w:val="eachPage"/>
      </w:footnotePr>
      <w:type w:val="continuous"/>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BB1" w:rsidRDefault="00AF3BB1">
      <w:pPr>
        <w:spacing w:line="240" w:lineRule="auto"/>
      </w:pPr>
      <w:r>
        <w:separator/>
      </w:r>
    </w:p>
  </w:endnote>
  <w:endnote w:type="continuationSeparator" w:id="0">
    <w:p w:rsidR="00AF3BB1" w:rsidRDefault="00AF3B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BB1" w:rsidRDefault="00AF3BB1" w:rsidP="00D80583">
      <w:pPr>
        <w:spacing w:line="240" w:lineRule="auto"/>
      </w:pPr>
      <w:r>
        <w:separator/>
      </w:r>
    </w:p>
  </w:footnote>
  <w:footnote w:type="continuationSeparator" w:id="0">
    <w:p w:rsidR="00AF3BB1" w:rsidRDefault="00AF3BB1" w:rsidP="00D80583">
      <w:pPr>
        <w:spacing w:line="240" w:lineRule="auto"/>
      </w:pPr>
      <w:r>
        <w:continuationSeparator/>
      </w:r>
    </w:p>
  </w:footnote>
  <w:footnote w:id="1">
    <w:p w:rsidR="007A5E3C" w:rsidRDefault="00987503" w:rsidP="007A5E3C">
      <w:pPr>
        <w:pStyle w:val="FootnoteText"/>
        <w:jc w:val="both"/>
        <w:rPr>
          <w:rtl/>
        </w:rPr>
      </w:pPr>
      <w:r>
        <w:rPr>
          <w:rStyle w:val="FootnoteReference"/>
        </w:rPr>
        <w:footnoteRef/>
      </w:r>
      <w:r>
        <w:rPr>
          <w:rtl/>
        </w:rPr>
        <w:t xml:space="preserve"> </w:t>
      </w:r>
      <w:r>
        <w:rPr>
          <w:rFonts w:hint="cs"/>
          <w:rtl/>
        </w:rPr>
        <w:t>ס"ח התשע"ח, עמ' 911.</w:t>
      </w:r>
    </w:p>
  </w:footnote>
  <w:footnote w:id="2">
    <w:p w:rsidR="007A5E3C" w:rsidRDefault="00987503" w:rsidP="007A5E3C">
      <w:pPr>
        <w:pStyle w:val="FootnoteText"/>
        <w:jc w:val="both"/>
        <w:rPr>
          <w:rtl/>
        </w:rPr>
      </w:pPr>
      <w:r>
        <w:rPr>
          <w:rStyle w:val="FootnoteReference"/>
        </w:rPr>
        <w:footnoteRef/>
      </w:r>
      <w:r>
        <w:rPr>
          <w:rtl/>
        </w:rPr>
        <w:t xml:space="preserve"> </w:t>
      </w:r>
      <w:r>
        <w:rPr>
          <w:rFonts w:hint="cs"/>
          <w:rtl/>
        </w:rPr>
        <w:t xml:space="preserve">החלטה בדבר מתן הוראות לש.שסטוביץ בע"מ פי סעיף 31ו לחוק התחרות הכלכלית, התשמ"ח-1988. </w:t>
      </w:r>
    </w:p>
    <w:p w:rsidR="007A5E3C" w:rsidRDefault="00480780" w:rsidP="007A5E3C">
      <w:pPr>
        <w:pStyle w:val="FootnoteText"/>
        <w:jc w:val="both"/>
        <w:rPr>
          <w:rtl/>
        </w:rPr>
      </w:pPr>
      <w:hyperlink w:history="1">
        <w:r w:rsidR="00987503" w:rsidRPr="00517117">
          <w:rPr>
            <w:rStyle w:val="Hyperlink"/>
          </w:rPr>
          <w:t>https://www.gov.il/BlobFolder/legalinfo/mirshamschestowitz/he/mirsham_%D7%94%D7%97%D7%9C%D7%98%D7%94%20%D7%91%D7%93%D7%91%D7%A8%20%D7%9E%D7%AA%D7%9F%20%D7%94%D7%95%D7%A8%D7%90%D7%95%D7%AA%20%D7%9C%D7%A9.%D7%A9%D7%A1%D7%98%D7%95%D7%91%D7%99%D7%A5%20%D7%91%D7%A2%D7%9E.pdf</w:t>
        </w:r>
      </w:hyperlink>
    </w:p>
  </w:footnote>
  <w:footnote w:id="3">
    <w:p w:rsidR="007A5E3C" w:rsidRDefault="00987503" w:rsidP="00915BDD">
      <w:pPr>
        <w:pStyle w:val="FootnoteText"/>
        <w:jc w:val="both"/>
        <w:rPr>
          <w:rtl/>
        </w:rPr>
      </w:pPr>
      <w:r>
        <w:rPr>
          <w:rStyle w:val="FootnoteReference"/>
        </w:rPr>
        <w:footnoteRef/>
      </w:r>
      <w:r>
        <w:rPr>
          <w:rtl/>
        </w:rPr>
        <w:t xml:space="preserve"> </w:t>
      </w:r>
      <w:r w:rsidR="00915BDD">
        <w:rPr>
          <w:rFonts w:hint="cs"/>
          <w:rtl/>
        </w:rPr>
        <w:t xml:space="preserve">ר' גם </w:t>
      </w:r>
      <w:r>
        <w:rPr>
          <w:rFonts w:hint="cs"/>
          <w:rtl/>
        </w:rPr>
        <w:t xml:space="preserve">ע"א 7629/12 </w:t>
      </w:r>
      <w:r>
        <w:rPr>
          <w:rFonts w:hint="cs"/>
          <w:b/>
          <w:bCs/>
          <w:rtl/>
        </w:rPr>
        <w:t xml:space="preserve">אלעד מנחם סויסה נ' </w:t>
      </w:r>
      <w:r>
        <w:rPr>
          <w:b/>
          <w:bCs/>
        </w:rPr>
        <w:t>TOMMY HILFIGER LICENSING LLC</w:t>
      </w:r>
      <w:r>
        <w:rPr>
          <w:rFonts w:hint="cs"/>
          <w:b/>
          <w:bCs/>
          <w:rtl/>
        </w:rPr>
        <w:t xml:space="preserve"> </w:t>
      </w:r>
      <w:r>
        <w:rPr>
          <w:rFonts w:hint="cs"/>
          <w:rtl/>
        </w:rPr>
        <w:t xml:space="preserve">(פורסם בנבו, 16.11.2014), המובא בדברי ההסבר להצעת החוק. </w:t>
      </w:r>
    </w:p>
  </w:footnote>
  <w:footnote w:id="4">
    <w:p w:rsidR="007A5E3C" w:rsidRDefault="00987503" w:rsidP="007A5E3C">
      <w:pPr>
        <w:pStyle w:val="FootnoteText"/>
        <w:jc w:val="both"/>
        <w:rPr>
          <w:rtl/>
        </w:rPr>
      </w:pPr>
      <w:r>
        <w:rPr>
          <w:rStyle w:val="FootnoteReference"/>
        </w:rPr>
        <w:footnoteRef/>
      </w:r>
      <w:r>
        <w:rPr>
          <w:rtl/>
        </w:rPr>
        <w:t xml:space="preserve"> </w:t>
      </w:r>
      <w:r>
        <w:rPr>
          <w:rFonts w:hint="cs"/>
          <w:rtl/>
        </w:rPr>
        <w:t xml:space="preserve">ס"ח התשע"ח, עמ' 911. </w:t>
      </w:r>
    </w:p>
  </w:footnote>
  <w:footnote w:id="5">
    <w:p w:rsidR="008A0FB5" w:rsidRDefault="008A0FB5" w:rsidP="008A0FB5">
      <w:pPr>
        <w:pStyle w:val="FootnoteText"/>
        <w:jc w:val="both"/>
        <w:rPr>
          <w:rtl/>
        </w:rPr>
      </w:pPr>
      <w:r>
        <w:rPr>
          <w:rStyle w:val="FootnoteReference"/>
        </w:rPr>
        <w:footnoteRef/>
      </w:r>
      <w:r>
        <w:rPr>
          <w:rtl/>
        </w:rPr>
        <w:t xml:space="preserve"> </w:t>
      </w:r>
      <w:r>
        <w:rPr>
          <w:rFonts w:hint="cs"/>
          <w:rtl/>
        </w:rPr>
        <w:t xml:space="preserve">ס"ח התשע"ח, עמ' 911. </w:t>
      </w:r>
    </w:p>
  </w:footnote>
  <w:footnote w:id="6">
    <w:p w:rsidR="007A5E3C" w:rsidRDefault="00987503" w:rsidP="007A5E3C">
      <w:pPr>
        <w:pStyle w:val="FootnoteText"/>
        <w:jc w:val="both"/>
      </w:pPr>
      <w:r>
        <w:rPr>
          <w:rStyle w:val="FootnoteReference"/>
        </w:rPr>
        <w:footnoteRef/>
      </w:r>
      <w:r>
        <w:rPr>
          <w:rtl/>
        </w:rPr>
        <w:t xml:space="preserve"> </w:t>
      </w:r>
      <w:r>
        <w:rPr>
          <w:rFonts w:hint="cs"/>
          <w:rtl/>
        </w:rPr>
        <w:t>ס"ח התשע"ח, עמ' 911.</w:t>
      </w:r>
    </w:p>
  </w:footnote>
  <w:footnote w:id="7">
    <w:p w:rsidR="007A5E3C" w:rsidRDefault="00987503" w:rsidP="007A5E3C">
      <w:pPr>
        <w:pStyle w:val="FootnoteText"/>
        <w:jc w:val="both"/>
        <w:rPr>
          <w:rtl/>
        </w:rPr>
      </w:pPr>
      <w:r>
        <w:rPr>
          <w:rStyle w:val="FootnoteReference"/>
        </w:rPr>
        <w:footnoteRef/>
      </w:r>
      <w:r>
        <w:rPr>
          <w:rtl/>
        </w:rPr>
        <w:t xml:space="preserve"> </w:t>
      </w:r>
      <w:r>
        <w:rPr>
          <w:rFonts w:hint="cs"/>
          <w:rtl/>
        </w:rPr>
        <w:t xml:space="preserve">החלטה בדבר מתן הוראות לש.שסטוביץ בע"מ פי סעיף 31ו לחוק התחרות הכלכלית, התשמ"ח-1988. </w:t>
      </w:r>
    </w:p>
    <w:p w:rsidR="007A5E3C" w:rsidRDefault="00480780" w:rsidP="007A5E3C">
      <w:pPr>
        <w:pStyle w:val="FootnoteText"/>
        <w:jc w:val="both"/>
      </w:pPr>
      <w:hyperlink w:history="1">
        <w:r w:rsidR="00987503" w:rsidRPr="00517117">
          <w:rPr>
            <w:rStyle w:val="Hyperlink"/>
          </w:rPr>
          <w:t>https://www.gov.il/BlobFolder/legalinfo/mirshamschestowitz/he/mirsham_%D7%94%D7%97%D7%9C%D7%98%D7%94%20%D7%91%D7%93%D7%91%D7%A8%20%D7%9E%D7%AA%D7%9F%20%D7%94%D7%95%D7%A8%D7%90%D7%95%D7%AA%20%D7%9C%D7%A9.%D7%A9%D7%A1%D7%98%D7%95%D7%91%D7%99%D7%A5%20%D7%91%D7%A2%D7%9E.pdf</w:t>
        </w:r>
      </w:hyperlink>
    </w:p>
  </w:footnote>
  <w:footnote w:id="8">
    <w:p w:rsidR="007A5E3C" w:rsidRDefault="00987503" w:rsidP="008741E5">
      <w:pPr>
        <w:pStyle w:val="FootnoteText"/>
        <w:jc w:val="both"/>
        <w:rPr>
          <w:rtl/>
        </w:rPr>
      </w:pPr>
      <w:r>
        <w:rPr>
          <w:rStyle w:val="FootnoteReference"/>
        </w:rPr>
        <w:footnoteRef/>
      </w:r>
      <w:r>
        <w:rPr>
          <w:rtl/>
        </w:rPr>
        <w:t xml:space="preserve"> </w:t>
      </w:r>
      <w:r w:rsidR="008741E5">
        <w:rPr>
          <w:rFonts w:hint="cs"/>
          <w:rtl/>
        </w:rPr>
        <w:t xml:space="preserve">ר' גם </w:t>
      </w:r>
      <w:r>
        <w:rPr>
          <w:rFonts w:hint="cs"/>
          <w:rtl/>
        </w:rPr>
        <w:t xml:space="preserve">ע"א 7629/12 </w:t>
      </w:r>
      <w:r>
        <w:rPr>
          <w:rFonts w:hint="cs"/>
          <w:b/>
          <w:bCs/>
          <w:rtl/>
        </w:rPr>
        <w:t xml:space="preserve">אלעד מנחם סויסה נ' </w:t>
      </w:r>
      <w:r>
        <w:rPr>
          <w:b/>
          <w:bCs/>
        </w:rPr>
        <w:t>TOMMY HILFIGER LICENSING LLC</w:t>
      </w:r>
      <w:r>
        <w:rPr>
          <w:rFonts w:hint="cs"/>
          <w:b/>
          <w:bCs/>
          <w:rtl/>
        </w:rPr>
        <w:t xml:space="preserve"> </w:t>
      </w:r>
      <w:r>
        <w:rPr>
          <w:rFonts w:hint="cs"/>
          <w:rtl/>
        </w:rPr>
        <w:t xml:space="preserve">(פורסם בנבו, 16.11.2014), המובא בדברי ההסבר להצעת החוק.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972A86"/>
    <w:multiLevelType w:val="hybridMultilevel"/>
    <w:tmpl w:val="0D5028AE"/>
    <w:lvl w:ilvl="0" w:tplc="3626B052">
      <w:start w:val="1"/>
      <w:numFmt w:val="decimal"/>
      <w:lvlText w:val="%1."/>
      <w:lvlJc w:val="left"/>
      <w:pPr>
        <w:ind w:left="700" w:hanging="360"/>
      </w:pPr>
      <w:rPr>
        <w:rFonts w:hint="default"/>
      </w:rPr>
    </w:lvl>
    <w:lvl w:ilvl="1" w:tplc="C3E6FB22" w:tentative="1">
      <w:start w:val="1"/>
      <w:numFmt w:val="lowerLetter"/>
      <w:lvlText w:val="%2."/>
      <w:lvlJc w:val="left"/>
      <w:pPr>
        <w:ind w:left="1420" w:hanging="360"/>
      </w:pPr>
    </w:lvl>
    <w:lvl w:ilvl="2" w:tplc="D91E1686" w:tentative="1">
      <w:start w:val="1"/>
      <w:numFmt w:val="lowerRoman"/>
      <w:lvlText w:val="%3."/>
      <w:lvlJc w:val="right"/>
      <w:pPr>
        <w:ind w:left="2140" w:hanging="180"/>
      </w:pPr>
    </w:lvl>
    <w:lvl w:ilvl="3" w:tplc="9384AE40" w:tentative="1">
      <w:start w:val="1"/>
      <w:numFmt w:val="decimal"/>
      <w:lvlText w:val="%4."/>
      <w:lvlJc w:val="left"/>
      <w:pPr>
        <w:ind w:left="2860" w:hanging="360"/>
      </w:pPr>
    </w:lvl>
    <w:lvl w:ilvl="4" w:tplc="575CC0B8" w:tentative="1">
      <w:start w:val="1"/>
      <w:numFmt w:val="lowerLetter"/>
      <w:lvlText w:val="%5."/>
      <w:lvlJc w:val="left"/>
      <w:pPr>
        <w:ind w:left="3580" w:hanging="360"/>
      </w:pPr>
    </w:lvl>
    <w:lvl w:ilvl="5" w:tplc="CC240A6C" w:tentative="1">
      <w:start w:val="1"/>
      <w:numFmt w:val="lowerRoman"/>
      <w:lvlText w:val="%6."/>
      <w:lvlJc w:val="right"/>
      <w:pPr>
        <w:ind w:left="4300" w:hanging="180"/>
      </w:pPr>
    </w:lvl>
    <w:lvl w:ilvl="6" w:tplc="50900940" w:tentative="1">
      <w:start w:val="1"/>
      <w:numFmt w:val="decimal"/>
      <w:lvlText w:val="%7."/>
      <w:lvlJc w:val="left"/>
      <w:pPr>
        <w:ind w:left="5020" w:hanging="360"/>
      </w:pPr>
    </w:lvl>
    <w:lvl w:ilvl="7" w:tplc="1694B27A" w:tentative="1">
      <w:start w:val="1"/>
      <w:numFmt w:val="lowerLetter"/>
      <w:lvlText w:val="%8."/>
      <w:lvlJc w:val="left"/>
      <w:pPr>
        <w:ind w:left="5740" w:hanging="360"/>
      </w:pPr>
    </w:lvl>
    <w:lvl w:ilvl="8" w:tplc="77E61902" w:tentative="1">
      <w:start w:val="1"/>
      <w:numFmt w:val="lowerRoman"/>
      <w:lvlText w:val="%9."/>
      <w:lvlJc w:val="right"/>
      <w:pPr>
        <w:ind w:left="6460" w:hanging="180"/>
      </w:pPr>
    </w:lvl>
  </w:abstractNum>
  <w:abstractNum w:abstractNumId="11" w15:restartNumberingAfterBreak="0">
    <w:nsid w:val="1CDD78F3"/>
    <w:multiLevelType w:val="hybridMultilevel"/>
    <w:tmpl w:val="9E4C4E42"/>
    <w:lvl w:ilvl="0" w:tplc="9EE64812">
      <w:start w:val="1"/>
      <w:numFmt w:val="decimal"/>
      <w:lvlText w:val="(%1)"/>
      <w:lvlJc w:val="left"/>
      <w:pPr>
        <w:tabs>
          <w:tab w:val="num" w:pos="624"/>
        </w:tabs>
        <w:ind w:left="0" w:firstLine="0"/>
      </w:pPr>
      <w:rPr>
        <w:rFonts w:hint="default"/>
      </w:rPr>
    </w:lvl>
    <w:lvl w:ilvl="1" w:tplc="6CCC3AD8" w:tentative="1">
      <w:start w:val="1"/>
      <w:numFmt w:val="lowerLetter"/>
      <w:lvlText w:val="%2."/>
      <w:lvlJc w:val="left"/>
      <w:pPr>
        <w:tabs>
          <w:tab w:val="num" w:pos="1440"/>
        </w:tabs>
        <w:ind w:left="1440" w:hanging="360"/>
      </w:pPr>
    </w:lvl>
    <w:lvl w:ilvl="2" w:tplc="D03AE3C2" w:tentative="1">
      <w:start w:val="1"/>
      <w:numFmt w:val="lowerRoman"/>
      <w:lvlText w:val="%3."/>
      <w:lvlJc w:val="right"/>
      <w:pPr>
        <w:tabs>
          <w:tab w:val="num" w:pos="2160"/>
        </w:tabs>
        <w:ind w:left="2160" w:hanging="180"/>
      </w:pPr>
    </w:lvl>
    <w:lvl w:ilvl="3" w:tplc="05A03ED8" w:tentative="1">
      <w:start w:val="1"/>
      <w:numFmt w:val="decimal"/>
      <w:lvlText w:val="%4."/>
      <w:lvlJc w:val="left"/>
      <w:pPr>
        <w:tabs>
          <w:tab w:val="num" w:pos="2880"/>
        </w:tabs>
        <w:ind w:left="2880" w:hanging="360"/>
      </w:pPr>
    </w:lvl>
    <w:lvl w:ilvl="4" w:tplc="3D52EE64" w:tentative="1">
      <w:start w:val="1"/>
      <w:numFmt w:val="lowerLetter"/>
      <w:lvlText w:val="%5."/>
      <w:lvlJc w:val="left"/>
      <w:pPr>
        <w:tabs>
          <w:tab w:val="num" w:pos="3600"/>
        </w:tabs>
        <w:ind w:left="3600" w:hanging="360"/>
      </w:pPr>
    </w:lvl>
    <w:lvl w:ilvl="5" w:tplc="1E588FA6" w:tentative="1">
      <w:start w:val="1"/>
      <w:numFmt w:val="lowerRoman"/>
      <w:lvlText w:val="%6."/>
      <w:lvlJc w:val="right"/>
      <w:pPr>
        <w:tabs>
          <w:tab w:val="num" w:pos="4320"/>
        </w:tabs>
        <w:ind w:left="4320" w:hanging="180"/>
      </w:pPr>
    </w:lvl>
    <w:lvl w:ilvl="6" w:tplc="614AC58A" w:tentative="1">
      <w:start w:val="1"/>
      <w:numFmt w:val="decimal"/>
      <w:lvlText w:val="%7."/>
      <w:lvlJc w:val="left"/>
      <w:pPr>
        <w:tabs>
          <w:tab w:val="num" w:pos="5040"/>
        </w:tabs>
        <w:ind w:left="5040" w:hanging="360"/>
      </w:pPr>
    </w:lvl>
    <w:lvl w:ilvl="7" w:tplc="CF823666" w:tentative="1">
      <w:start w:val="1"/>
      <w:numFmt w:val="lowerLetter"/>
      <w:lvlText w:val="%8."/>
      <w:lvlJc w:val="left"/>
      <w:pPr>
        <w:tabs>
          <w:tab w:val="num" w:pos="5760"/>
        </w:tabs>
        <w:ind w:left="5760" w:hanging="360"/>
      </w:pPr>
    </w:lvl>
    <w:lvl w:ilvl="8" w:tplc="318A0396" w:tentative="1">
      <w:start w:val="1"/>
      <w:numFmt w:val="lowerRoman"/>
      <w:lvlText w:val="%9."/>
      <w:lvlJc w:val="right"/>
      <w:pPr>
        <w:tabs>
          <w:tab w:val="num" w:pos="6480"/>
        </w:tabs>
        <w:ind w:left="6480" w:hanging="180"/>
      </w:pPr>
    </w:lvl>
  </w:abstractNum>
  <w:abstractNum w:abstractNumId="12" w15:restartNumberingAfterBreak="0">
    <w:nsid w:val="555A2B35"/>
    <w:multiLevelType w:val="hybridMultilevel"/>
    <w:tmpl w:val="F61ADD04"/>
    <w:lvl w:ilvl="0" w:tplc="47586F4E">
      <w:start w:val="1"/>
      <w:numFmt w:val="hebrew1"/>
      <w:pStyle w:val="Heading4"/>
      <w:suff w:val="space"/>
      <w:lvlText w:val="%1."/>
      <w:lvlJc w:val="left"/>
      <w:pPr>
        <w:ind w:left="0" w:firstLine="0"/>
      </w:pPr>
      <w:rPr>
        <w:rFonts w:hint="default"/>
      </w:rPr>
    </w:lvl>
    <w:lvl w:ilvl="1" w:tplc="8D1CFD78">
      <w:start w:val="1"/>
      <w:numFmt w:val="decimal"/>
      <w:lvlText w:val="(%2)"/>
      <w:lvlJc w:val="left"/>
      <w:pPr>
        <w:tabs>
          <w:tab w:val="num" w:pos="624"/>
        </w:tabs>
        <w:ind w:left="0" w:firstLine="0"/>
      </w:pPr>
      <w:rPr>
        <w:rFonts w:hint="default"/>
      </w:rPr>
    </w:lvl>
    <w:lvl w:ilvl="2" w:tplc="8E12CEEE">
      <w:start w:val="1"/>
      <w:numFmt w:val="hebrew1"/>
      <w:lvlText w:val="(%3)"/>
      <w:lvlJc w:val="left"/>
      <w:pPr>
        <w:tabs>
          <w:tab w:val="num" w:pos="624"/>
        </w:tabs>
        <w:ind w:left="0" w:firstLine="0"/>
      </w:pPr>
      <w:rPr>
        <w:rFonts w:hint="default"/>
      </w:rPr>
    </w:lvl>
    <w:lvl w:ilvl="3" w:tplc="2486B20A">
      <w:start w:val="1"/>
      <w:numFmt w:val="hebrew1"/>
      <w:lvlRestart w:val="0"/>
      <w:lvlText w:val="(%4)"/>
      <w:lvlJc w:val="left"/>
      <w:pPr>
        <w:tabs>
          <w:tab w:val="num" w:pos="624"/>
        </w:tabs>
        <w:ind w:left="0" w:firstLine="0"/>
      </w:pPr>
      <w:rPr>
        <w:rFonts w:hint="default"/>
      </w:rPr>
    </w:lvl>
    <w:lvl w:ilvl="4" w:tplc="AAFAA78A">
      <w:start w:val="1"/>
      <w:numFmt w:val="decimal"/>
      <w:lvlRestart w:val="0"/>
      <w:lvlText w:val="(%5)"/>
      <w:lvlJc w:val="left"/>
      <w:pPr>
        <w:tabs>
          <w:tab w:val="num" w:pos="3864"/>
        </w:tabs>
        <w:ind w:left="3240" w:firstLine="0"/>
      </w:pPr>
      <w:rPr>
        <w:rFonts w:hint="default"/>
      </w:rPr>
    </w:lvl>
    <w:lvl w:ilvl="5" w:tplc="0E10FC74" w:tentative="1">
      <w:start w:val="1"/>
      <w:numFmt w:val="lowerRoman"/>
      <w:lvlText w:val="%6."/>
      <w:lvlJc w:val="right"/>
      <w:pPr>
        <w:tabs>
          <w:tab w:val="num" w:pos="4320"/>
        </w:tabs>
        <w:ind w:left="4320" w:hanging="180"/>
      </w:pPr>
    </w:lvl>
    <w:lvl w:ilvl="6" w:tplc="845E8B5C" w:tentative="1">
      <w:start w:val="1"/>
      <w:numFmt w:val="decimal"/>
      <w:lvlText w:val="%7."/>
      <w:lvlJc w:val="left"/>
      <w:pPr>
        <w:tabs>
          <w:tab w:val="num" w:pos="5040"/>
        </w:tabs>
        <w:ind w:left="5040" w:hanging="360"/>
      </w:pPr>
    </w:lvl>
    <w:lvl w:ilvl="7" w:tplc="D6E217B8" w:tentative="1">
      <w:start w:val="1"/>
      <w:numFmt w:val="lowerLetter"/>
      <w:lvlText w:val="%8."/>
      <w:lvlJc w:val="left"/>
      <w:pPr>
        <w:tabs>
          <w:tab w:val="num" w:pos="5760"/>
        </w:tabs>
        <w:ind w:left="5760" w:hanging="360"/>
      </w:pPr>
    </w:lvl>
    <w:lvl w:ilvl="8" w:tplc="571C6772" w:tentative="1">
      <w:start w:val="1"/>
      <w:numFmt w:val="lowerRoman"/>
      <w:lvlText w:val="%9."/>
      <w:lvlJc w:val="right"/>
      <w:pPr>
        <w:tabs>
          <w:tab w:val="num" w:pos="6480"/>
        </w:tabs>
        <w:ind w:left="6480" w:hanging="180"/>
      </w:pPr>
    </w:lvl>
  </w:abstractNum>
  <w:abstractNum w:abstractNumId="13" w15:restartNumberingAfterBreak="0">
    <w:nsid w:val="5B3B28B0"/>
    <w:multiLevelType w:val="hybridMultilevel"/>
    <w:tmpl w:val="41ACEA96"/>
    <w:lvl w:ilvl="0" w:tplc="B1D862AC">
      <w:start w:val="1"/>
      <w:numFmt w:val="decimal"/>
      <w:pStyle w:val="TOC3"/>
      <w:lvlText w:val="%1."/>
      <w:lvlJc w:val="left"/>
      <w:pPr>
        <w:ind w:left="1287" w:hanging="360"/>
      </w:pPr>
      <w:rPr>
        <w:rFonts w:cs="David" w:hint="default"/>
        <w:bCs w:val="0"/>
        <w:iCs w:val="0"/>
        <w:szCs w:val="24"/>
      </w:rPr>
    </w:lvl>
    <w:lvl w:ilvl="1" w:tplc="D14C0108" w:tentative="1">
      <w:start w:val="1"/>
      <w:numFmt w:val="lowerLetter"/>
      <w:lvlText w:val="%2."/>
      <w:lvlJc w:val="left"/>
      <w:pPr>
        <w:ind w:left="2007" w:hanging="360"/>
      </w:pPr>
    </w:lvl>
    <w:lvl w:ilvl="2" w:tplc="ECDAE694" w:tentative="1">
      <w:start w:val="1"/>
      <w:numFmt w:val="lowerRoman"/>
      <w:lvlText w:val="%3."/>
      <w:lvlJc w:val="right"/>
      <w:pPr>
        <w:ind w:left="2727" w:hanging="180"/>
      </w:pPr>
    </w:lvl>
    <w:lvl w:ilvl="3" w:tplc="69F8D188" w:tentative="1">
      <w:start w:val="1"/>
      <w:numFmt w:val="decimal"/>
      <w:lvlText w:val="%4."/>
      <w:lvlJc w:val="left"/>
      <w:pPr>
        <w:ind w:left="3447" w:hanging="360"/>
      </w:pPr>
    </w:lvl>
    <w:lvl w:ilvl="4" w:tplc="CB12207C" w:tentative="1">
      <w:start w:val="1"/>
      <w:numFmt w:val="lowerLetter"/>
      <w:lvlText w:val="%5."/>
      <w:lvlJc w:val="left"/>
      <w:pPr>
        <w:ind w:left="4167" w:hanging="360"/>
      </w:pPr>
    </w:lvl>
    <w:lvl w:ilvl="5" w:tplc="979E04D8" w:tentative="1">
      <w:start w:val="1"/>
      <w:numFmt w:val="lowerRoman"/>
      <w:lvlText w:val="%6."/>
      <w:lvlJc w:val="right"/>
      <w:pPr>
        <w:ind w:left="4887" w:hanging="180"/>
      </w:pPr>
    </w:lvl>
    <w:lvl w:ilvl="6" w:tplc="1ED2E122" w:tentative="1">
      <w:start w:val="1"/>
      <w:numFmt w:val="decimal"/>
      <w:lvlText w:val="%7."/>
      <w:lvlJc w:val="left"/>
      <w:pPr>
        <w:ind w:left="5607" w:hanging="360"/>
      </w:pPr>
    </w:lvl>
    <w:lvl w:ilvl="7" w:tplc="88407DB8" w:tentative="1">
      <w:start w:val="1"/>
      <w:numFmt w:val="lowerLetter"/>
      <w:lvlText w:val="%8."/>
      <w:lvlJc w:val="left"/>
      <w:pPr>
        <w:ind w:left="6327" w:hanging="360"/>
      </w:pPr>
    </w:lvl>
    <w:lvl w:ilvl="8" w:tplc="66926150" w:tentative="1">
      <w:start w:val="1"/>
      <w:numFmt w:val="lowerRoman"/>
      <w:lvlText w:val="%9."/>
      <w:lvlJc w:val="right"/>
      <w:pPr>
        <w:ind w:left="7047" w:hanging="180"/>
      </w:pPr>
    </w:lvl>
  </w:abstractNum>
  <w:abstractNum w:abstractNumId="14" w15:restartNumberingAfterBreak="0">
    <w:nsid w:val="753C544D"/>
    <w:multiLevelType w:val="hybridMultilevel"/>
    <w:tmpl w:val="71AA1B46"/>
    <w:lvl w:ilvl="0" w:tplc="931E58F4">
      <w:start w:val="1"/>
      <w:numFmt w:val="decimal"/>
      <w:lvlText w:val="%1."/>
      <w:lvlJc w:val="left"/>
      <w:pPr>
        <w:tabs>
          <w:tab w:val="num" w:pos="0"/>
        </w:tabs>
        <w:ind w:left="0" w:firstLine="0"/>
      </w:pPr>
      <w:rPr>
        <w:rFonts w:hint="default"/>
      </w:rPr>
    </w:lvl>
    <w:lvl w:ilvl="1" w:tplc="07EC321A">
      <w:start w:val="1"/>
      <w:numFmt w:val="decimal"/>
      <w:lvlText w:val="(%2)"/>
      <w:lvlJc w:val="left"/>
      <w:pPr>
        <w:tabs>
          <w:tab w:val="num" w:pos="624"/>
        </w:tabs>
        <w:ind w:left="0" w:firstLine="0"/>
      </w:pPr>
      <w:rPr>
        <w:rFonts w:hint="default"/>
      </w:rPr>
    </w:lvl>
    <w:lvl w:ilvl="2" w:tplc="8B12B3EC">
      <w:start w:val="1"/>
      <w:numFmt w:val="hebrew1"/>
      <w:lvlText w:val="(%3)"/>
      <w:lvlJc w:val="left"/>
      <w:pPr>
        <w:tabs>
          <w:tab w:val="num" w:pos="624"/>
        </w:tabs>
        <w:ind w:left="0" w:firstLine="0"/>
      </w:pPr>
      <w:rPr>
        <w:rFonts w:hint="default"/>
      </w:rPr>
    </w:lvl>
    <w:lvl w:ilvl="3" w:tplc="F240063A">
      <w:start w:val="1"/>
      <w:numFmt w:val="hebrew1"/>
      <w:lvlRestart w:val="0"/>
      <w:lvlText w:val="(%4)"/>
      <w:lvlJc w:val="left"/>
      <w:pPr>
        <w:tabs>
          <w:tab w:val="num" w:pos="624"/>
        </w:tabs>
        <w:ind w:left="0" w:firstLine="0"/>
      </w:pPr>
      <w:rPr>
        <w:rFonts w:hint="default"/>
      </w:rPr>
    </w:lvl>
    <w:lvl w:ilvl="4" w:tplc="2C56242C">
      <w:start w:val="1"/>
      <w:numFmt w:val="decimal"/>
      <w:lvlRestart w:val="0"/>
      <w:lvlText w:val="(%5)"/>
      <w:lvlJc w:val="left"/>
      <w:pPr>
        <w:tabs>
          <w:tab w:val="num" w:pos="3864"/>
        </w:tabs>
        <w:ind w:left="3240" w:firstLine="0"/>
      </w:pPr>
      <w:rPr>
        <w:rFonts w:hint="default"/>
      </w:rPr>
    </w:lvl>
    <w:lvl w:ilvl="5" w:tplc="2B34EC3A" w:tentative="1">
      <w:start w:val="1"/>
      <w:numFmt w:val="lowerRoman"/>
      <w:lvlText w:val="%6."/>
      <w:lvlJc w:val="right"/>
      <w:pPr>
        <w:tabs>
          <w:tab w:val="num" w:pos="4320"/>
        </w:tabs>
        <w:ind w:left="4320" w:hanging="180"/>
      </w:pPr>
    </w:lvl>
    <w:lvl w:ilvl="6" w:tplc="EAB83D54" w:tentative="1">
      <w:start w:val="1"/>
      <w:numFmt w:val="decimal"/>
      <w:lvlText w:val="%7."/>
      <w:lvlJc w:val="left"/>
      <w:pPr>
        <w:tabs>
          <w:tab w:val="num" w:pos="5040"/>
        </w:tabs>
        <w:ind w:left="5040" w:hanging="360"/>
      </w:pPr>
    </w:lvl>
    <w:lvl w:ilvl="7" w:tplc="2F203CC6" w:tentative="1">
      <w:start w:val="1"/>
      <w:numFmt w:val="lowerLetter"/>
      <w:lvlText w:val="%8."/>
      <w:lvlJc w:val="left"/>
      <w:pPr>
        <w:tabs>
          <w:tab w:val="num" w:pos="5760"/>
        </w:tabs>
        <w:ind w:left="5760" w:hanging="360"/>
      </w:pPr>
    </w:lvl>
    <w:lvl w:ilvl="8" w:tplc="E0B07454" w:tentative="1">
      <w:start w:val="1"/>
      <w:numFmt w:val="lowerRoman"/>
      <w:lvlText w:val="%9."/>
      <w:lvlJc w:val="right"/>
      <w:pPr>
        <w:tabs>
          <w:tab w:val="num" w:pos="6480"/>
        </w:tabs>
        <w:ind w:left="6480" w:hanging="180"/>
      </w:pPr>
    </w:lvl>
  </w:abstractNum>
  <w:abstractNum w:abstractNumId="15" w15:restartNumberingAfterBreak="0">
    <w:nsid w:val="75C858E4"/>
    <w:multiLevelType w:val="hybridMultilevel"/>
    <w:tmpl w:val="882C6ED4"/>
    <w:lvl w:ilvl="0" w:tplc="7AD4B386">
      <w:start w:val="1"/>
      <w:numFmt w:val="hebrew1"/>
      <w:lvlText w:val="(%1)"/>
      <w:lvlJc w:val="left"/>
      <w:pPr>
        <w:tabs>
          <w:tab w:val="num" w:pos="624"/>
        </w:tabs>
        <w:ind w:left="0" w:firstLine="0"/>
      </w:pPr>
      <w:rPr>
        <w:rFonts w:hint="default"/>
      </w:rPr>
    </w:lvl>
    <w:lvl w:ilvl="1" w:tplc="CFDA786C">
      <w:start w:val="1"/>
      <w:numFmt w:val="decimal"/>
      <w:lvlRestart w:val="0"/>
      <w:lvlText w:val="(%2)"/>
      <w:lvlJc w:val="left"/>
      <w:pPr>
        <w:tabs>
          <w:tab w:val="num" w:pos="1704"/>
        </w:tabs>
        <w:ind w:left="1080" w:firstLine="0"/>
      </w:pPr>
      <w:rPr>
        <w:rFonts w:hint="default"/>
      </w:rPr>
    </w:lvl>
    <w:lvl w:ilvl="2" w:tplc="480ED352">
      <w:start w:val="1"/>
      <w:numFmt w:val="decimal"/>
      <w:lvlRestart w:val="0"/>
      <w:lvlText w:val="(%3)"/>
      <w:lvlJc w:val="left"/>
      <w:pPr>
        <w:tabs>
          <w:tab w:val="num" w:pos="2604"/>
        </w:tabs>
        <w:ind w:left="1980" w:firstLine="0"/>
      </w:pPr>
      <w:rPr>
        <w:rFonts w:hint="default"/>
      </w:rPr>
    </w:lvl>
    <w:lvl w:ilvl="3" w:tplc="69B6E044" w:tentative="1">
      <w:start w:val="1"/>
      <w:numFmt w:val="decimal"/>
      <w:lvlText w:val="%4."/>
      <w:lvlJc w:val="left"/>
      <w:pPr>
        <w:tabs>
          <w:tab w:val="num" w:pos="2880"/>
        </w:tabs>
        <w:ind w:left="2880" w:hanging="360"/>
      </w:pPr>
    </w:lvl>
    <w:lvl w:ilvl="4" w:tplc="27346860" w:tentative="1">
      <w:start w:val="1"/>
      <w:numFmt w:val="lowerLetter"/>
      <w:lvlText w:val="%5."/>
      <w:lvlJc w:val="left"/>
      <w:pPr>
        <w:tabs>
          <w:tab w:val="num" w:pos="3600"/>
        </w:tabs>
        <w:ind w:left="3600" w:hanging="360"/>
      </w:pPr>
    </w:lvl>
    <w:lvl w:ilvl="5" w:tplc="8362E5E0" w:tentative="1">
      <w:start w:val="1"/>
      <w:numFmt w:val="lowerRoman"/>
      <w:lvlText w:val="%6."/>
      <w:lvlJc w:val="right"/>
      <w:pPr>
        <w:tabs>
          <w:tab w:val="num" w:pos="4320"/>
        </w:tabs>
        <w:ind w:left="4320" w:hanging="180"/>
      </w:pPr>
    </w:lvl>
    <w:lvl w:ilvl="6" w:tplc="5F2A272E" w:tentative="1">
      <w:start w:val="1"/>
      <w:numFmt w:val="decimal"/>
      <w:lvlText w:val="%7."/>
      <w:lvlJc w:val="left"/>
      <w:pPr>
        <w:tabs>
          <w:tab w:val="num" w:pos="5040"/>
        </w:tabs>
        <w:ind w:left="5040" w:hanging="360"/>
      </w:pPr>
    </w:lvl>
    <w:lvl w:ilvl="7" w:tplc="6A12BA1E" w:tentative="1">
      <w:start w:val="1"/>
      <w:numFmt w:val="lowerLetter"/>
      <w:lvlText w:val="%8."/>
      <w:lvlJc w:val="left"/>
      <w:pPr>
        <w:tabs>
          <w:tab w:val="num" w:pos="5760"/>
        </w:tabs>
        <w:ind w:left="5760" w:hanging="360"/>
      </w:pPr>
    </w:lvl>
    <w:lvl w:ilvl="8" w:tplc="9BD242C6" w:tentative="1">
      <w:start w:val="1"/>
      <w:numFmt w:val="lowerRoman"/>
      <w:lvlText w:val="%9."/>
      <w:lvlJc w:val="right"/>
      <w:pPr>
        <w:tabs>
          <w:tab w:val="num" w:pos="6480"/>
        </w:tabs>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14"/>
  </w:num>
  <w:num w:numId="5">
    <w:abstractNumId w:val="11"/>
  </w:num>
  <w:num w:numId="6">
    <w:abstractNumId w:val="15"/>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2"/>
  </w:num>
  <w:num w:numId="17">
    <w:abstractNumId w:val="12"/>
    <w:lvlOverride w:ilvl="0">
      <w:startOverride w:val="1"/>
    </w:lvlOverride>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AE7"/>
    <w:rsid w:val="000026F5"/>
    <w:rsid w:val="00055C5A"/>
    <w:rsid w:val="000A3F50"/>
    <w:rsid w:val="000E60D4"/>
    <w:rsid w:val="001C117F"/>
    <w:rsid w:val="002A4B55"/>
    <w:rsid w:val="00324976"/>
    <w:rsid w:val="003337C1"/>
    <w:rsid w:val="00335BFA"/>
    <w:rsid w:val="00337410"/>
    <w:rsid w:val="00480780"/>
    <w:rsid w:val="00507893"/>
    <w:rsid w:val="00517117"/>
    <w:rsid w:val="00537828"/>
    <w:rsid w:val="00553F55"/>
    <w:rsid w:val="005B4A9A"/>
    <w:rsid w:val="005B7897"/>
    <w:rsid w:val="005D27A5"/>
    <w:rsid w:val="00670C84"/>
    <w:rsid w:val="0067626C"/>
    <w:rsid w:val="006A5A5B"/>
    <w:rsid w:val="006A787F"/>
    <w:rsid w:val="006E3F05"/>
    <w:rsid w:val="0070767B"/>
    <w:rsid w:val="007206E6"/>
    <w:rsid w:val="00736005"/>
    <w:rsid w:val="00737FCF"/>
    <w:rsid w:val="007418DB"/>
    <w:rsid w:val="00780BBA"/>
    <w:rsid w:val="007A5E3C"/>
    <w:rsid w:val="0085678A"/>
    <w:rsid w:val="00861EFA"/>
    <w:rsid w:val="008741E5"/>
    <w:rsid w:val="00893E18"/>
    <w:rsid w:val="008A0FB5"/>
    <w:rsid w:val="008C2F70"/>
    <w:rsid w:val="009103AD"/>
    <w:rsid w:val="00915BDD"/>
    <w:rsid w:val="00970CF2"/>
    <w:rsid w:val="00987503"/>
    <w:rsid w:val="009912E9"/>
    <w:rsid w:val="009B0DF5"/>
    <w:rsid w:val="00A96AE7"/>
    <w:rsid w:val="00AB3640"/>
    <w:rsid w:val="00AF3BB1"/>
    <w:rsid w:val="00B2738F"/>
    <w:rsid w:val="00B6136C"/>
    <w:rsid w:val="00BD1B38"/>
    <w:rsid w:val="00C02A12"/>
    <w:rsid w:val="00C71889"/>
    <w:rsid w:val="00C82ED3"/>
    <w:rsid w:val="00CB5068"/>
    <w:rsid w:val="00D80583"/>
    <w:rsid w:val="00D84A2C"/>
    <w:rsid w:val="00DD1450"/>
    <w:rsid w:val="00DF6394"/>
    <w:rsid w:val="00E0231D"/>
    <w:rsid w:val="00EB7FA7"/>
    <w:rsid w:val="00ED1CF7"/>
    <w:rsid w:val="00EE5293"/>
    <w:rsid w:val="00F23ECB"/>
    <w:rsid w:val="00F65B88"/>
    <w:rsid w:val="00F96E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92A60B-A684-4D13-8B69-6A47C1D9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AE7"/>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A96AE7"/>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A96AE7"/>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A96AE7"/>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A96AE7"/>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A96AE7"/>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AE7"/>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A96AE7"/>
    <w:rPr>
      <w:rFonts w:ascii="David" w:hAnsi="David" w:cs="David"/>
      <w:b/>
      <w:bCs/>
      <w:color w:val="000000" w:themeColor="text1"/>
      <w:sz w:val="24"/>
      <w:szCs w:val="28"/>
    </w:rPr>
  </w:style>
  <w:style w:type="paragraph" w:customStyle="1" w:styleId="TableText">
    <w:name w:val="Table Text"/>
    <w:basedOn w:val="Normal"/>
    <w:rsid w:val="00A96AE7"/>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A96AE7"/>
    <w:pPr>
      <w:outlineLvl w:val="2"/>
    </w:pPr>
  </w:style>
  <w:style w:type="paragraph" w:customStyle="1" w:styleId="TableBlock">
    <w:name w:val="Table Block"/>
    <w:basedOn w:val="TableText"/>
    <w:rsid w:val="00A96AE7"/>
    <w:pPr>
      <w:jc w:val="both"/>
    </w:pPr>
  </w:style>
  <w:style w:type="paragraph" w:customStyle="1" w:styleId="TableHead">
    <w:name w:val="Table Head"/>
    <w:basedOn w:val="TableText"/>
    <w:rsid w:val="00A96AE7"/>
    <w:pPr>
      <w:jc w:val="center"/>
      <w:outlineLvl w:val="1"/>
    </w:pPr>
    <w:rPr>
      <w:b/>
      <w:bCs/>
    </w:rPr>
  </w:style>
  <w:style w:type="paragraph" w:customStyle="1" w:styleId="HeadMitparsemetBaze">
    <w:name w:val="Head MitparsemetBaze"/>
    <w:basedOn w:val="Normal"/>
    <w:rsid w:val="00A96AE7"/>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A96AE7"/>
    <w:pPr>
      <w:keepNext/>
      <w:keepLines/>
      <w:snapToGrid w:val="0"/>
      <w:spacing w:before="240"/>
      <w:jc w:val="center"/>
      <w:outlineLvl w:val="0"/>
    </w:pPr>
    <w:rPr>
      <w:rFonts w:ascii="Arial" w:eastAsia="Arial Unicode MS" w:hAnsi="Arial"/>
      <w:b/>
      <w:bCs/>
      <w:snapToGrid w:val="0"/>
      <w:sz w:val="20"/>
      <w:szCs w:val="26"/>
    </w:rPr>
  </w:style>
  <w:style w:type="paragraph" w:customStyle="1" w:styleId="Hesber1st">
    <w:name w:val="Hesber 1st"/>
    <w:basedOn w:val="Hesber"/>
    <w:rsid w:val="00A96AE7"/>
    <w:pPr>
      <w:tabs>
        <w:tab w:val="left" w:pos="680"/>
        <w:tab w:val="left" w:pos="1020"/>
      </w:tabs>
      <w:ind w:firstLine="0"/>
    </w:pPr>
  </w:style>
  <w:style w:type="paragraph" w:customStyle="1" w:styleId="HeadDivreiHesber">
    <w:name w:val="Head DivreiHesber"/>
    <w:basedOn w:val="Normal"/>
    <w:rsid w:val="00A96AE7"/>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A96AE7"/>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A96AE7"/>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A96AE7"/>
    <w:rPr>
      <w:rFonts w:ascii="David" w:hAnsi="David" w:cs="David"/>
      <w:color w:val="000000" w:themeColor="text1"/>
      <w:sz w:val="24"/>
      <w:szCs w:val="24"/>
    </w:rPr>
  </w:style>
  <w:style w:type="paragraph" w:customStyle="1" w:styleId="HeadHatzaotHok4Futer">
    <w:name w:val="Head HatzaotHok4Futer"/>
    <w:basedOn w:val="HeadHatzaotHok"/>
    <w:rsid w:val="00A96AE7"/>
    <w:pPr>
      <w:spacing w:before="120" w:after="120"/>
    </w:pPr>
    <w:rPr>
      <w:color w:val="FF0000"/>
      <w:w w:val="80"/>
    </w:rPr>
  </w:style>
  <w:style w:type="paragraph" w:styleId="EndnoteText">
    <w:name w:val="endnote text"/>
    <w:basedOn w:val="Normal"/>
    <w:link w:val="EndnoteTextChar"/>
    <w:semiHidden/>
    <w:rsid w:val="00A96AE7"/>
    <w:pPr>
      <w:ind w:left="227" w:hanging="227"/>
    </w:pPr>
    <w:rPr>
      <w:sz w:val="14"/>
      <w:szCs w:val="22"/>
    </w:rPr>
  </w:style>
  <w:style w:type="character" w:customStyle="1" w:styleId="EndnoteTextChar">
    <w:name w:val="Endnote Text Char"/>
    <w:basedOn w:val="DefaultParagraphFont"/>
    <w:link w:val="EndnoteText"/>
    <w:semiHidden/>
    <w:rsid w:val="00A96AE7"/>
    <w:rPr>
      <w:rFonts w:ascii="David" w:hAnsi="David" w:cs="David"/>
      <w:sz w:val="14"/>
    </w:rPr>
  </w:style>
  <w:style w:type="paragraph" w:customStyle="1" w:styleId="TableInnerSideHeading">
    <w:name w:val="Table InnerSideHeading"/>
    <w:basedOn w:val="TableSideHeading"/>
    <w:rsid w:val="00A96AE7"/>
    <w:pPr>
      <w:outlineLvl w:val="9"/>
    </w:pPr>
  </w:style>
  <w:style w:type="paragraph" w:customStyle="1" w:styleId="Hesber">
    <w:name w:val="Hesber"/>
    <w:basedOn w:val="Normal"/>
    <w:rsid w:val="00A96AE7"/>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A96AE7"/>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A96AE7"/>
    <w:rPr>
      <w:rFonts w:ascii="Arial" w:eastAsia="Arial Unicode MS" w:hAnsi="Arial" w:cs="David"/>
      <w:snapToGrid w:val="0"/>
      <w:sz w:val="14"/>
      <w:szCs w:val="20"/>
    </w:rPr>
  </w:style>
  <w:style w:type="character" w:styleId="FootnoteReference">
    <w:name w:val="footnote reference"/>
    <w:aliases w:val="Footnote Reference_0"/>
    <w:basedOn w:val="DefaultParagraphFont"/>
    <w:semiHidden/>
    <w:rsid w:val="00A96AE7"/>
    <w:rPr>
      <w:vertAlign w:val="superscript"/>
    </w:rPr>
  </w:style>
  <w:style w:type="paragraph" w:customStyle="1" w:styleId="HesberHeading">
    <w:name w:val="Hesber Heading"/>
    <w:basedOn w:val="Hesber"/>
    <w:rsid w:val="00A96AE7"/>
    <w:pPr>
      <w:tabs>
        <w:tab w:val="left" w:pos="624"/>
        <w:tab w:val="left" w:pos="1247"/>
      </w:tabs>
    </w:pPr>
    <w:rPr>
      <w:b/>
      <w:bCs/>
    </w:rPr>
  </w:style>
  <w:style w:type="paragraph" w:customStyle="1" w:styleId="HesberWriters">
    <w:name w:val="Hesber Writers"/>
    <w:basedOn w:val="Hesber"/>
    <w:rsid w:val="00A96AE7"/>
    <w:pPr>
      <w:spacing w:before="120" w:after="120"/>
      <w:ind w:left="1418"/>
      <w:jc w:val="right"/>
    </w:pPr>
    <w:rPr>
      <w:b/>
      <w:bCs/>
    </w:rPr>
  </w:style>
  <w:style w:type="character" w:styleId="EndnoteReference">
    <w:name w:val="endnote reference"/>
    <w:basedOn w:val="DefaultParagraphFont"/>
    <w:semiHidden/>
    <w:rsid w:val="00A96AE7"/>
    <w:rPr>
      <w:vertAlign w:val="superscript"/>
    </w:rPr>
  </w:style>
  <w:style w:type="paragraph" w:customStyle="1" w:styleId="TableBlockOutdent">
    <w:name w:val="Table BlockOutdent"/>
    <w:basedOn w:val="TableBlock"/>
    <w:rsid w:val="00A96AE7"/>
    <w:pPr>
      <w:ind w:left="624" w:hanging="624"/>
    </w:pPr>
  </w:style>
  <w:style w:type="paragraph" w:styleId="Header">
    <w:name w:val="header"/>
    <w:basedOn w:val="Normal"/>
    <w:link w:val="HeaderChar"/>
    <w:rsid w:val="00A96AE7"/>
    <w:pPr>
      <w:tabs>
        <w:tab w:val="center" w:pos="4153"/>
        <w:tab w:val="right" w:pos="8306"/>
      </w:tabs>
    </w:pPr>
  </w:style>
  <w:style w:type="character" w:customStyle="1" w:styleId="HeaderChar">
    <w:name w:val="Header Char"/>
    <w:basedOn w:val="DefaultParagraphFont"/>
    <w:link w:val="Header"/>
    <w:rsid w:val="00A96AE7"/>
    <w:rPr>
      <w:rFonts w:ascii="David" w:hAnsi="David" w:cs="David"/>
      <w:sz w:val="24"/>
      <w:szCs w:val="24"/>
    </w:rPr>
  </w:style>
  <w:style w:type="paragraph" w:styleId="Footer">
    <w:name w:val="footer"/>
    <w:basedOn w:val="Normal"/>
    <w:link w:val="FooterChar"/>
    <w:rsid w:val="00A96AE7"/>
    <w:pPr>
      <w:tabs>
        <w:tab w:val="center" w:pos="4153"/>
        <w:tab w:val="right" w:pos="8306"/>
      </w:tabs>
    </w:pPr>
  </w:style>
  <w:style w:type="character" w:customStyle="1" w:styleId="FooterChar">
    <w:name w:val="Footer Char"/>
    <w:basedOn w:val="DefaultParagraphFont"/>
    <w:link w:val="Footer"/>
    <w:rsid w:val="00A96AE7"/>
    <w:rPr>
      <w:rFonts w:ascii="David" w:hAnsi="David" w:cs="David"/>
      <w:sz w:val="24"/>
      <w:szCs w:val="24"/>
    </w:rPr>
  </w:style>
  <w:style w:type="character" w:styleId="PageNumber">
    <w:name w:val="page number"/>
    <w:basedOn w:val="DefaultParagraphFont"/>
    <w:rsid w:val="00A96AE7"/>
  </w:style>
  <w:style w:type="paragraph" w:customStyle="1" w:styleId="Cover1-Reshumot">
    <w:name w:val="Cover 1-Reshumot"/>
    <w:basedOn w:val="Normal"/>
    <w:rsid w:val="00A96AE7"/>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A96AE7"/>
    <w:rPr>
      <w:sz w:val="36"/>
      <w:szCs w:val="52"/>
    </w:rPr>
  </w:style>
  <w:style w:type="paragraph" w:customStyle="1" w:styleId="Cover3-Haknesset">
    <w:name w:val="Cover 3-Haknesset"/>
    <w:basedOn w:val="Cover1-Reshumot"/>
    <w:rsid w:val="00A96AE7"/>
    <w:rPr>
      <w:b/>
      <w:bCs/>
      <w:spacing w:val="60"/>
    </w:rPr>
  </w:style>
  <w:style w:type="paragraph" w:customStyle="1" w:styleId="Cover4-Date">
    <w:name w:val="Cover 4-Date"/>
    <w:basedOn w:val="Normal"/>
    <w:rsid w:val="00A96AE7"/>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A96AE7"/>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A96AE7"/>
    <w:pPr>
      <w:widowControl/>
      <w:spacing w:before="120" w:after="120"/>
      <w:outlineLvl w:val="9"/>
    </w:pPr>
    <w:rPr>
      <w:rtl/>
      <w:cs/>
    </w:rPr>
  </w:style>
  <w:style w:type="paragraph" w:styleId="TOC1">
    <w:name w:val="toc 1"/>
    <w:basedOn w:val="Normal"/>
    <w:next w:val="Normal"/>
    <w:autoRedefine/>
    <w:uiPriority w:val="39"/>
    <w:unhideWhenUsed/>
    <w:rsid w:val="00A96AE7"/>
    <w:pPr>
      <w:tabs>
        <w:tab w:val="right" w:leader="dot" w:pos="9629"/>
      </w:tabs>
      <w:spacing w:after="100"/>
    </w:pPr>
    <w:rPr>
      <w:bCs/>
      <w:szCs w:val="22"/>
    </w:rPr>
  </w:style>
  <w:style w:type="paragraph" w:styleId="TOC2">
    <w:name w:val="toc 2"/>
    <w:basedOn w:val="Normal"/>
    <w:next w:val="Normal"/>
    <w:uiPriority w:val="39"/>
    <w:unhideWhenUsed/>
    <w:rsid w:val="00A96AE7"/>
    <w:pPr>
      <w:tabs>
        <w:tab w:val="right" w:leader="dot" w:pos="9628"/>
      </w:tabs>
      <w:spacing w:after="100"/>
    </w:pPr>
    <w:rPr>
      <w:szCs w:val="22"/>
    </w:rPr>
  </w:style>
  <w:style w:type="character" w:styleId="Hyperlink">
    <w:name w:val="Hyperlink"/>
    <w:basedOn w:val="DefaultParagraphFont"/>
    <w:uiPriority w:val="99"/>
    <w:unhideWhenUsed/>
    <w:rsid w:val="00A96AE7"/>
    <w:rPr>
      <w:color w:val="0563C1" w:themeColor="hyperlink"/>
      <w:u w:val="single"/>
    </w:rPr>
  </w:style>
  <w:style w:type="paragraph" w:styleId="TOC3">
    <w:name w:val="toc 3"/>
    <w:basedOn w:val="Normal"/>
    <w:next w:val="Normal"/>
    <w:uiPriority w:val="39"/>
    <w:unhideWhenUsed/>
    <w:rsid w:val="00A96AE7"/>
    <w:pPr>
      <w:numPr>
        <w:numId w:val="19"/>
      </w:numPr>
      <w:tabs>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A96AE7"/>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A96AE7"/>
    <w:pPr>
      <w:tabs>
        <w:tab w:val="right" w:leader="dot" w:pos="9628"/>
      </w:tabs>
      <w:spacing w:after="100"/>
      <w:ind w:left="567"/>
    </w:pPr>
    <w:rPr>
      <w:szCs w:val="22"/>
    </w:rPr>
  </w:style>
  <w:style w:type="paragraph" w:styleId="TOC6">
    <w:name w:val="toc 6"/>
    <w:basedOn w:val="Normal"/>
    <w:next w:val="Normal"/>
    <w:autoRedefine/>
    <w:semiHidden/>
    <w:unhideWhenUsed/>
    <w:rsid w:val="00A96AE7"/>
    <w:pPr>
      <w:spacing w:after="100"/>
      <w:ind w:left="850"/>
    </w:pPr>
  </w:style>
  <w:style w:type="paragraph" w:styleId="TOC7">
    <w:name w:val="toc 7"/>
    <w:basedOn w:val="Normal"/>
    <w:next w:val="Normal"/>
    <w:autoRedefine/>
    <w:semiHidden/>
    <w:unhideWhenUsed/>
    <w:rsid w:val="00A96AE7"/>
    <w:pPr>
      <w:spacing w:after="100"/>
      <w:ind w:left="1020"/>
    </w:pPr>
  </w:style>
  <w:style w:type="paragraph" w:styleId="TOC8">
    <w:name w:val="toc 8"/>
    <w:basedOn w:val="Normal"/>
    <w:next w:val="Normal"/>
    <w:autoRedefine/>
    <w:semiHidden/>
    <w:unhideWhenUsed/>
    <w:rsid w:val="00A96AE7"/>
    <w:pPr>
      <w:spacing w:after="100"/>
      <w:ind w:left="1190"/>
    </w:pPr>
  </w:style>
  <w:style w:type="paragraph" w:styleId="TOC9">
    <w:name w:val="toc 9"/>
    <w:basedOn w:val="Normal"/>
    <w:next w:val="Normal"/>
    <w:autoRedefine/>
    <w:semiHidden/>
    <w:unhideWhenUsed/>
    <w:rsid w:val="00A96AE7"/>
    <w:pPr>
      <w:spacing w:after="100"/>
      <w:ind w:left="1360"/>
    </w:pPr>
  </w:style>
  <w:style w:type="paragraph" w:customStyle="1" w:styleId="TableHead2">
    <w:name w:val="Table Head2"/>
    <w:basedOn w:val="TableHead"/>
    <w:qFormat/>
    <w:rsid w:val="00A96AE7"/>
    <w:pPr>
      <w:outlineLvl w:val="9"/>
    </w:pPr>
  </w:style>
  <w:style w:type="paragraph" w:customStyle="1" w:styleId="TableSideHeading2">
    <w:name w:val="Table SideHeading2"/>
    <w:basedOn w:val="TableSideHeading"/>
    <w:autoRedefine/>
    <w:qFormat/>
    <w:rsid w:val="00A96AE7"/>
    <w:pPr>
      <w:keepLines w:val="0"/>
      <w:outlineLvl w:val="9"/>
    </w:pPr>
  </w:style>
  <w:style w:type="paragraph" w:customStyle="1" w:styleId="0">
    <w:name w:val="סגנון שורה ראשונה:  0  ס''מ"/>
    <w:basedOn w:val="Heading2"/>
    <w:rsid w:val="00A96AE7"/>
    <w:rPr>
      <w:rFonts w:eastAsia="Times New Roman"/>
    </w:rPr>
  </w:style>
  <w:style w:type="paragraph" w:styleId="ListParagraph">
    <w:name w:val="List Paragraph"/>
    <w:basedOn w:val="Normal"/>
    <w:link w:val="ListParagraphChar"/>
    <w:uiPriority w:val="34"/>
    <w:qFormat/>
    <w:rsid w:val="00A96AE7"/>
    <w:pPr>
      <w:widowControl/>
      <w:spacing w:line="259" w:lineRule="auto"/>
    </w:pPr>
    <w:rPr>
      <w:rFonts w:asciiTheme="minorHAnsi" w:hAnsiTheme="minorHAnsi"/>
      <w:sz w:val="22"/>
    </w:rPr>
  </w:style>
  <w:style w:type="table" w:styleId="TableGrid">
    <w:name w:val="Table Grid"/>
    <w:basedOn w:val="TableNormal"/>
    <w:rsid w:val="00A96AE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6AE7"/>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96AE7"/>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A96AE7"/>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A96AE7"/>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character" w:customStyle="1" w:styleId="ListParagraphChar">
    <w:name w:val="List Paragraph Char"/>
    <w:basedOn w:val="DefaultParagraphFont"/>
    <w:link w:val="ListParagraph"/>
    <w:uiPriority w:val="34"/>
    <w:locked/>
    <w:rsid w:val="00EE5293"/>
    <w:rPr>
      <w:rFonts w:cs="David"/>
      <w:szCs w:val="24"/>
    </w:rPr>
  </w:style>
  <w:style w:type="paragraph" w:styleId="BalloonText">
    <w:name w:val="Balloon Text"/>
    <w:basedOn w:val="Normal"/>
    <w:link w:val="BalloonTextChar"/>
    <w:uiPriority w:val="99"/>
    <w:semiHidden/>
    <w:unhideWhenUsed/>
    <w:rsid w:val="00C82ED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E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861</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Liron Naim</dc:creator>
  <cp:lastModifiedBy>Melita Shafir</cp:lastModifiedBy>
  <cp:revision>2</cp:revision>
  <dcterms:created xsi:type="dcterms:W3CDTF">2021-06-06T05:05:00Z</dcterms:created>
  <dcterms:modified xsi:type="dcterms:W3CDTF">2021-06-06T05:05:00Z</dcterms:modified>
</cp:coreProperties>
</file>